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F09C5">
      <w:pPr>
        <w:ind w:firstLine="420"/>
        <w:jc w:val="center"/>
      </w:pPr>
      <w:r>
        <w:rPr>
          <w:rFonts w:hint="eastAsia"/>
        </w:rPr>
        <w:drawing>
          <wp:anchor distT="0" distB="0" distL="114300" distR="114300" simplePos="0" relativeHeight="251661312" behindDoc="0" locked="0" layoutInCell="1" allowOverlap="1">
            <wp:simplePos x="0" y="0"/>
            <wp:positionH relativeFrom="column">
              <wp:posOffset>974725</wp:posOffset>
            </wp:positionH>
            <wp:positionV relativeFrom="paragraph">
              <wp:posOffset>-303530</wp:posOffset>
            </wp:positionV>
            <wp:extent cx="3466465" cy="1764030"/>
            <wp:effectExtent l="0" t="0" r="8255" b="3810"/>
            <wp:wrapSquare wrapText="bothSides"/>
            <wp:docPr id="56" name="图片 2"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descr="小"/>
                    <pic:cNvPicPr>
                      <a:picLocks noChangeAspect="1"/>
                    </pic:cNvPicPr>
                  </pic:nvPicPr>
                  <pic:blipFill>
                    <a:blip r:embed="rId13"/>
                    <a:stretch>
                      <a:fillRect/>
                    </a:stretch>
                  </pic:blipFill>
                  <pic:spPr>
                    <a:xfrm>
                      <a:off x="0" y="0"/>
                      <a:ext cx="3466465" cy="1764030"/>
                    </a:xfrm>
                    <a:prstGeom prst="rect">
                      <a:avLst/>
                    </a:prstGeom>
                    <a:noFill/>
                    <a:ln>
                      <a:noFill/>
                    </a:ln>
                  </pic:spPr>
                </pic:pic>
              </a:graphicData>
            </a:graphic>
          </wp:anchor>
        </w:drawing>
      </w:r>
    </w:p>
    <w:p w14:paraId="54C68DC7">
      <w:pPr>
        <w:pStyle w:val="14"/>
        <w:rPr>
          <w:rFonts w:eastAsia="华文新魏"/>
          <w:b/>
          <w:spacing w:val="-70"/>
          <w:sz w:val="72"/>
          <w:szCs w:val="72"/>
        </w:rPr>
      </w:pPr>
      <w:r>
        <w:rPr>
          <w:rFonts w:hint="eastAsia" w:ascii="思源宋体 CN ExtraLight" w:hAnsi="思源宋体 CN ExtraLight" w:cs="思源宋体 CN ExtraLight"/>
        </w:rPr>
        <mc:AlternateContent>
          <mc:Choice Requires="wpc">
            <w:drawing>
              <wp:inline distT="0" distB="0" distL="114300" distR="114300">
                <wp:extent cx="5574665" cy="3352800"/>
                <wp:effectExtent l="0" t="0" r="0" b="0"/>
                <wp:docPr id="55" name="画布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文本框 6"/>
                        <wps:cNvSpPr txBox="1"/>
                        <wps:spPr>
                          <a:xfrm>
                            <a:off x="0" y="2869586"/>
                            <a:ext cx="5316857" cy="261608"/>
                          </a:xfrm>
                          <a:prstGeom prst="rect">
                            <a:avLst/>
                          </a:prstGeom>
                          <a:solidFill>
                            <a:srgbClr val="C0C0C0"/>
                          </a:solidFill>
                          <a:ln>
                            <a:noFill/>
                          </a:ln>
                        </wps:spPr>
                        <wps:txbx>
                          <w:txbxContent>
                            <w:p w14:paraId="27A8E686">
                              <w:pPr>
                                <w:spacing w:before="120" w:after="120"/>
                                <w:ind w:firstLine="420"/>
                              </w:pPr>
                            </w:p>
                          </w:txbxContent>
                        </wps:txbx>
                        <wps:bodyPr upright="1"/>
                      </wps:wsp>
                      <wps:wsp>
                        <wps:cNvPr id="22" name="文本框 22"/>
                        <wps:cNvSpPr txBox="1"/>
                        <wps:spPr>
                          <a:xfrm>
                            <a:off x="80002" y="1082632"/>
                            <a:ext cx="4455832" cy="1057232"/>
                          </a:xfrm>
                          <a:prstGeom prst="rect">
                            <a:avLst/>
                          </a:prstGeom>
                          <a:noFill/>
                          <a:ln>
                            <a:noFill/>
                          </a:ln>
                        </wps:spPr>
                        <wps:txbx>
                          <w:txbxContent>
                            <w:p w14:paraId="45D08EC7">
                              <w:pPr>
                                <w:ind w:firstLine="560"/>
                                <w:jc w:val="center"/>
                                <w:rPr>
                                  <w:rFonts w:ascii="思源宋体 CN" w:hAnsi="思源宋体 CN" w:eastAsia="思源宋体 CN" w:cs="思源宋体 CN"/>
                                  <w:sz w:val="28"/>
                                  <w:szCs w:val="28"/>
                                </w:rPr>
                              </w:pPr>
                              <w:r>
                                <w:rPr>
                                  <w:rFonts w:hint="eastAsia" w:ascii="思源宋体 CN" w:hAnsi="思源宋体 CN" w:eastAsia="思源宋体 CN" w:cs="思源宋体 CN"/>
                                  <w:sz w:val="28"/>
                                  <w:szCs w:val="28"/>
                                </w:rPr>
                                <w:t>国泰新点软件股份有限公司</w:t>
                              </w:r>
                            </w:p>
                            <w:p w14:paraId="6D023DB5">
                              <w:pPr>
                                <w:ind w:firstLine="420"/>
                                <w:jc w:val="center"/>
                                <w:rPr>
                                  <w:rFonts w:ascii="思源宋体 CN" w:hAnsi="思源宋体 CN" w:eastAsia="思源宋体 CN" w:cs="思源宋体 CN"/>
                                  <w:b/>
                                  <w:color w:val="0000FF"/>
                                  <w:szCs w:val="21"/>
                                </w:rPr>
                              </w:pPr>
                              <w:r>
                                <w:rPr>
                                  <w:rFonts w:hint="eastAsia" w:ascii="思源宋体 CN" w:hAnsi="思源宋体 CN" w:eastAsia="思源宋体 CN" w:cs="思源宋体 CN"/>
                                  <w:szCs w:val="21"/>
                                </w:rPr>
                                <w:t>地址：张家港市杨舍镇江帆路8号</w:t>
                              </w:r>
                              <w:r>
                                <w:rPr>
                                  <w:rFonts w:hint="eastAsia" w:ascii="思源宋体 CN" w:hAnsi="思源宋体 CN" w:eastAsia="思源宋体 CN" w:cs="思源宋体 CN"/>
                                  <w:b/>
                                  <w:color w:val="0000FF"/>
                                  <w:szCs w:val="21"/>
                                </w:rPr>
                                <w:t>(http://www.epoint.com.cn)</w:t>
                              </w:r>
                            </w:p>
                            <w:p w14:paraId="0A064BA8">
                              <w:pPr>
                                <w:ind w:firstLine="420"/>
                                <w:jc w:val="center"/>
                                <w:rPr>
                                  <w:rFonts w:ascii="思源宋体 CN" w:hAnsi="思源宋体 CN" w:eastAsia="思源宋体 CN" w:cs="思源宋体 CN"/>
                                  <w:szCs w:val="21"/>
                                </w:rPr>
                              </w:pPr>
                              <w:r>
                                <w:rPr>
                                  <w:rFonts w:hint="eastAsia" w:ascii="思源宋体 CN" w:hAnsi="思源宋体 CN" w:eastAsia="思源宋体 CN" w:cs="思源宋体 CN"/>
                                  <w:szCs w:val="21"/>
                                </w:rPr>
                                <w:t>电话：0512-58188000传真：0512-58132373</w:t>
                              </w:r>
                            </w:p>
                          </w:txbxContent>
                        </wps:txbx>
                        <wps:bodyPr lIns="0" tIns="0" rIns="0" bIns="0" upright="1"/>
                      </wps:wsp>
                    </wpc:wpc>
                  </a:graphicData>
                </a:graphic>
              </wp:inline>
            </w:drawing>
          </mc:Choice>
          <mc:Fallback>
            <w:pict>
              <v:group id="_x0000_s1026" o:spid="_x0000_s1026" o:spt="203" style="height:264pt;width:438.95pt;" coordsize="5574665,3352800" editas="canvas" o:gfxdata="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&#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qCSQX1wAAAAUBAAAPAAAAAAAAAAEAIAAAACIAAABk&#10;cnMvZG93bnJldi54bWxQSwECFAAUAAAACACHTuJAXlIC2XkCAABRBgAADgAAAAAAAAABACAAAAAm&#10;AQAAZHJzL2Uyb0RvYy54bWxQSwUGAAAAAAYABgBZAQAAEQYAAAAA&#10;">
                <o:lock v:ext="edit" aspectratio="f"/>
                <v:shape id="_x0000_s1026" o:spid="_x0000_s1026" style="position:absolute;left:0;top:0;height:3352800;width:5574665;" filled="f" stroked="f" coordsize="21600,21600" o:gfxdata="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CSQX1wAAAAUBAAAPAAAAAAAAAAEAIAAAACIAAABkcnMv&#10;ZG93bnJldi54bWxQSwECFAAUAAAACACHTuJA6hs+4D0CAADMBQAADgAAAAAAAAABACAAAAAmAQAA&#10;ZHJzL2Uyb0RvYy54bWxQSwUGAAAAAAYABgBZAQAA1QUAAAAA&#10;">
                  <v:fill on="f" focussize="0,0"/>
                  <v:stroke on="f"/>
                  <v:imagedata o:title=""/>
                  <o:lock v:ext="edit" aspectratio="t"/>
                </v:shape>
                <v:shape id="_x0000_s1026" o:spid="_x0000_s1026" o:spt="202" type="#_x0000_t202" style="position:absolute;left:0;top:2869586;height:261608;width:5316857;" fillcolor="#C0C0C0" filled="t" stroked="f" coordsize="21600,21600" o:gfxdata="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sMSUNQAAAAFAQAADwAAAAAAAAABACAAAAAiAAAAZHJzL2Rvd25y&#10;ZXYueG1sUEsBAhQAFAAAAAgAh07iQLOkOdPJAQAAfQMAAA4AAAAAAAAAAQAgAAAAIwEAAGRycy9l&#10;Mm9Eb2MueG1sUEsFBgAAAAAGAAYAWQEAAF4FAAAAAA==&#10;">
                  <v:fill on="t" focussize="0,0"/>
                  <v:stroke on="f"/>
                  <v:imagedata o:title=""/>
                  <o:lock v:ext="edit" aspectratio="f"/>
                  <v:textbox>
                    <w:txbxContent>
                      <w:p w14:paraId="27A8E686">
                        <w:pPr>
                          <w:spacing w:before="120" w:after="120"/>
                          <w:ind w:firstLine="420"/>
                        </w:pPr>
                      </w:p>
                    </w:txbxContent>
                  </v:textbox>
                </v:shape>
                <v:shape id="_x0000_s1026" o:spid="_x0000_s1026" o:spt="202" type="#_x0000_t202" style="position:absolute;left:80002;top:1082632;height:1057232;width:4455832;" filled="f" stroked="f" coordsize="21600,21600" o:gfxdata="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2sdU9YAAAAFAQAADwAAAAAAAAABACAAAAAiAAAAZHJzL2Rvd25yZXYu&#10;eG1sUEsBAhQAFAAAAAgAh07iQPF7rt7EAQAAfwMAAA4AAAAAAAAAAQAgAAAAJQEAAGRycy9lMm9E&#10;b2MueG1sUEsFBgAAAAAGAAYAWQEAAFsFAAAAAA==&#10;">
                  <v:fill on="f" focussize="0,0"/>
                  <v:stroke on="f"/>
                  <v:imagedata o:title=""/>
                  <o:lock v:ext="edit" aspectratio="f"/>
                  <v:textbox inset="0mm,0mm,0mm,0mm">
                    <w:txbxContent>
                      <w:p w14:paraId="45D08EC7">
                        <w:pPr>
                          <w:ind w:firstLine="560"/>
                          <w:jc w:val="center"/>
                          <w:rPr>
                            <w:rFonts w:ascii="思源宋体 CN" w:hAnsi="思源宋体 CN" w:eastAsia="思源宋体 CN" w:cs="思源宋体 CN"/>
                            <w:sz w:val="28"/>
                            <w:szCs w:val="28"/>
                          </w:rPr>
                        </w:pPr>
                        <w:r>
                          <w:rPr>
                            <w:rFonts w:hint="eastAsia" w:ascii="思源宋体 CN" w:hAnsi="思源宋体 CN" w:eastAsia="思源宋体 CN" w:cs="思源宋体 CN"/>
                            <w:sz w:val="28"/>
                            <w:szCs w:val="28"/>
                          </w:rPr>
                          <w:t>国泰新点软件股份有限公司</w:t>
                        </w:r>
                      </w:p>
                      <w:p w14:paraId="6D023DB5">
                        <w:pPr>
                          <w:ind w:firstLine="420"/>
                          <w:jc w:val="center"/>
                          <w:rPr>
                            <w:rFonts w:ascii="思源宋体 CN" w:hAnsi="思源宋体 CN" w:eastAsia="思源宋体 CN" w:cs="思源宋体 CN"/>
                            <w:b/>
                            <w:color w:val="0000FF"/>
                            <w:szCs w:val="21"/>
                          </w:rPr>
                        </w:pPr>
                        <w:r>
                          <w:rPr>
                            <w:rFonts w:hint="eastAsia" w:ascii="思源宋体 CN" w:hAnsi="思源宋体 CN" w:eastAsia="思源宋体 CN" w:cs="思源宋体 CN"/>
                            <w:szCs w:val="21"/>
                          </w:rPr>
                          <w:t>地址：张家港市杨舍镇江帆路8号</w:t>
                        </w:r>
                        <w:r>
                          <w:rPr>
                            <w:rFonts w:hint="eastAsia" w:ascii="思源宋体 CN" w:hAnsi="思源宋体 CN" w:eastAsia="思源宋体 CN" w:cs="思源宋体 CN"/>
                            <w:b/>
                            <w:color w:val="0000FF"/>
                            <w:szCs w:val="21"/>
                          </w:rPr>
                          <w:t>(http://www.epoint.com.cn)</w:t>
                        </w:r>
                      </w:p>
                      <w:p w14:paraId="0A064BA8">
                        <w:pPr>
                          <w:ind w:firstLine="420"/>
                          <w:jc w:val="center"/>
                          <w:rPr>
                            <w:rFonts w:ascii="思源宋体 CN" w:hAnsi="思源宋体 CN" w:eastAsia="思源宋体 CN" w:cs="思源宋体 CN"/>
                            <w:szCs w:val="21"/>
                          </w:rPr>
                        </w:pPr>
                        <w:r>
                          <w:rPr>
                            <w:rFonts w:hint="eastAsia" w:ascii="思源宋体 CN" w:hAnsi="思源宋体 CN" w:eastAsia="思源宋体 CN" w:cs="思源宋体 CN"/>
                            <w:szCs w:val="21"/>
                          </w:rPr>
                          <w:t>电话：0512-58188000传真：0512-58132373</w:t>
                        </w:r>
                      </w:p>
                    </w:txbxContent>
                  </v:textbox>
                </v:shape>
                <w10:wrap type="none"/>
                <w10:anchorlock/>
              </v:group>
            </w:pict>
          </mc:Fallback>
        </mc:AlternateContent>
      </w:r>
    </w:p>
    <w:p w14:paraId="6039E282">
      <w:pPr>
        <w:ind w:firstLine="0" w:firstLineChars="0"/>
      </w:pPr>
    </w:p>
    <w:p w14:paraId="27B37F8D">
      <w:pPr>
        <w:ind w:firstLine="0" w:firstLineChars="0"/>
      </w:pPr>
    </w:p>
    <w:p w14:paraId="2C311466">
      <w:pPr>
        <w:ind w:firstLine="0" w:firstLineChars="0"/>
      </w:pPr>
    </w:p>
    <w:p w14:paraId="71E84E2A">
      <w:pPr>
        <w:ind w:firstLine="0" w:firstLineChars="0"/>
      </w:pPr>
    </w:p>
    <w:p w14:paraId="780B9B8A">
      <w:pPr>
        <w:ind w:firstLine="0" w:firstLineChars="0"/>
      </w:pPr>
    </w:p>
    <w:p w14:paraId="705AE7C1">
      <w:pPr>
        <w:ind w:firstLine="0" w:firstLineChars="0"/>
      </w:pPr>
    </w:p>
    <w:p w14:paraId="11D641EB">
      <w:pPr>
        <w:ind w:firstLine="0" w:firstLineChars="0"/>
        <w:jc w:val="center"/>
        <w:rPr>
          <w:b/>
          <w:sz w:val="52"/>
          <w:szCs w:val="52"/>
        </w:rPr>
      </w:pPr>
      <w:r>
        <w:rPr>
          <w:rFonts w:hint="eastAsia"/>
          <w:b/>
          <w:sz w:val="52"/>
          <w:szCs w:val="52"/>
          <w:lang w:val="en-US" w:eastAsia="zh-CN"/>
        </w:rPr>
        <w:t>陕西省</w:t>
      </w:r>
      <w:r>
        <w:rPr>
          <w:rFonts w:hint="eastAsia"/>
          <w:b/>
          <w:sz w:val="52"/>
          <w:szCs w:val="52"/>
        </w:rPr>
        <w:t>用能权交易平台</w:t>
      </w:r>
    </w:p>
    <w:p w14:paraId="41E043ED">
      <w:pPr>
        <w:ind w:firstLine="0" w:firstLineChars="0"/>
        <w:jc w:val="center"/>
        <w:rPr>
          <w:b/>
          <w:sz w:val="52"/>
          <w:szCs w:val="5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titlePg/>
          <w:docGrid w:type="lines" w:linePitch="312" w:charSpace="0"/>
        </w:sectPr>
      </w:pPr>
      <w:r>
        <w:rPr>
          <w:rFonts w:hint="eastAsia"/>
          <w:b/>
          <w:sz w:val="52"/>
          <w:szCs w:val="52"/>
          <w:lang w:val="en-US" w:eastAsia="zh-CN"/>
        </w:rPr>
        <w:t>申购</w:t>
      </w:r>
      <w:r>
        <w:rPr>
          <w:rFonts w:hint="eastAsia"/>
          <w:b/>
          <w:sz w:val="52"/>
          <w:szCs w:val="52"/>
        </w:rPr>
        <w:t>企业操作手册</w:t>
      </w:r>
    </w:p>
    <w:p w14:paraId="58EB2BBB">
      <w:pPr>
        <w:ind w:firstLine="420"/>
      </w:pPr>
    </w:p>
    <w:sdt>
      <w:sdtPr>
        <w:rPr>
          <w:rFonts w:hint="eastAsia"/>
          <w:b/>
          <w:spacing w:val="200"/>
          <w:sz w:val="32"/>
        </w:rPr>
        <w:id w:val="147451552"/>
        <w:docPartObj>
          <w:docPartGallery w:val="Table of Contents"/>
          <w:docPartUnique/>
        </w:docPartObj>
      </w:sdtPr>
      <w:sdtEndPr>
        <w:rPr>
          <w:rFonts w:hint="eastAsia" w:eastAsia="宋体"/>
          <w:b/>
          <w:spacing w:val="200"/>
          <w:sz w:val="21"/>
        </w:rPr>
      </w:sdtEndPr>
      <w:sdtContent>
        <w:p w14:paraId="50F98823">
          <w:pPr>
            <w:spacing w:line="240" w:lineRule="auto"/>
            <w:ind w:firstLine="0" w:firstLineChars="0"/>
            <w:jc w:val="center"/>
          </w:pPr>
          <w:r>
            <w:rPr>
              <w:rFonts w:hint="eastAsia" w:ascii="思源宋体 CN ExtraLight" w:hAnsi="思源宋体 CN ExtraLight" w:cs="思源宋体 CN ExtraLight"/>
              <w:b/>
              <w:bCs/>
              <w:sz w:val="32"/>
              <w:szCs w:val="32"/>
            </w:rPr>
            <w:t>目  录</w:t>
          </w:r>
        </w:p>
        <w:p w14:paraId="49345248">
          <w:pPr>
            <w:pStyle w:val="9"/>
            <w:tabs>
              <w:tab w:val="right" w:leader="dot" w:pos="8306"/>
            </w:tabs>
          </w:pPr>
          <w:r>
            <w:fldChar w:fldCharType="begin"/>
          </w:r>
          <w:r>
            <w:instrText xml:space="preserve">TOC \o "1-3" \h \u </w:instrText>
          </w:r>
          <w:r>
            <w:fldChar w:fldCharType="separate"/>
          </w:r>
          <w:r>
            <w:fldChar w:fldCharType="begin"/>
          </w:r>
          <w:r>
            <w:instrText xml:space="preserve"> HYPERLINK \l _Toc17 </w:instrText>
          </w:r>
          <w:r>
            <w:fldChar w:fldCharType="separate"/>
          </w:r>
          <w:r>
            <w:rPr>
              <w:rFonts w:hint="eastAsia"/>
              <w:lang w:val="en-US"/>
            </w:rPr>
            <w:t xml:space="preserve">一、 </w:t>
          </w:r>
          <w:r>
            <w:rPr>
              <w:rFonts w:hint="eastAsia"/>
            </w:rPr>
            <w:t>用能权交易平台入口</w:t>
          </w:r>
          <w:r>
            <w:tab/>
          </w:r>
          <w:r>
            <w:fldChar w:fldCharType="begin"/>
          </w:r>
          <w:r>
            <w:instrText xml:space="preserve"> PAGEREF _Toc17 \h </w:instrText>
          </w:r>
          <w:r>
            <w:fldChar w:fldCharType="separate"/>
          </w:r>
          <w:r>
            <w:t>4</w:t>
          </w:r>
          <w:r>
            <w:fldChar w:fldCharType="end"/>
          </w:r>
          <w:r>
            <w:fldChar w:fldCharType="end"/>
          </w:r>
        </w:p>
        <w:p w14:paraId="59620D6A">
          <w:pPr>
            <w:pStyle w:val="10"/>
            <w:tabs>
              <w:tab w:val="right" w:leader="dot" w:pos="8306"/>
            </w:tabs>
          </w:pPr>
          <w:r>
            <w:fldChar w:fldCharType="begin"/>
          </w:r>
          <w:r>
            <w:instrText xml:space="preserve"> HYPERLINK \l _Toc8664 </w:instrText>
          </w:r>
          <w:r>
            <w:fldChar w:fldCharType="separate"/>
          </w:r>
          <w:r>
            <w:rPr>
              <w:rFonts w:hint="default" w:ascii="Times New Roman" w:hAnsi="Times New Roman" w:cs="Times New Roman"/>
              <w:szCs w:val="30"/>
            </w:rPr>
            <w:t xml:space="preserve">1.1、 </w:t>
          </w:r>
          <w:r>
            <w:rPr>
              <w:rFonts w:hint="eastAsia"/>
              <w:lang w:val="en-US" w:eastAsia="zh-CN"/>
            </w:rPr>
            <w:t>现有</w:t>
          </w:r>
          <w:r>
            <w:rPr>
              <w:rFonts w:hint="eastAsia"/>
            </w:rPr>
            <w:t>企业注册入库</w:t>
          </w:r>
          <w:r>
            <w:tab/>
          </w:r>
          <w:r>
            <w:fldChar w:fldCharType="begin"/>
          </w:r>
          <w:r>
            <w:instrText xml:space="preserve"> PAGEREF _Toc8664 \h </w:instrText>
          </w:r>
          <w:r>
            <w:fldChar w:fldCharType="separate"/>
          </w:r>
          <w:r>
            <w:t>4</w:t>
          </w:r>
          <w:r>
            <w:fldChar w:fldCharType="end"/>
          </w:r>
          <w:r>
            <w:fldChar w:fldCharType="end"/>
          </w:r>
        </w:p>
        <w:p w14:paraId="2DF9114C">
          <w:pPr>
            <w:pStyle w:val="6"/>
            <w:tabs>
              <w:tab w:val="right" w:leader="dot" w:pos="8306"/>
            </w:tabs>
          </w:pPr>
          <w:r>
            <w:fldChar w:fldCharType="begin"/>
          </w:r>
          <w:r>
            <w:instrText xml:space="preserve"> HYPERLINK \l _Toc7422 </w:instrText>
          </w:r>
          <w: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1.1.1、 </w:t>
          </w:r>
          <w:r>
            <w:rPr>
              <w:rFonts w:hint="eastAsia"/>
            </w:rPr>
            <w:t>注册入库</w:t>
          </w:r>
          <w:r>
            <w:tab/>
          </w:r>
          <w:r>
            <w:fldChar w:fldCharType="begin"/>
          </w:r>
          <w:r>
            <w:instrText xml:space="preserve"> PAGEREF _Toc7422 \h </w:instrText>
          </w:r>
          <w:r>
            <w:fldChar w:fldCharType="separate"/>
          </w:r>
          <w:r>
            <w:t>4</w:t>
          </w:r>
          <w:r>
            <w:fldChar w:fldCharType="end"/>
          </w:r>
          <w:r>
            <w:fldChar w:fldCharType="end"/>
          </w:r>
        </w:p>
        <w:p w14:paraId="7DD0DF3B">
          <w:pPr>
            <w:pStyle w:val="6"/>
            <w:tabs>
              <w:tab w:val="right" w:leader="dot" w:pos="8306"/>
            </w:tabs>
          </w:pPr>
          <w:r>
            <w:fldChar w:fldCharType="begin"/>
          </w:r>
          <w:r>
            <w:instrText xml:space="preserve"> HYPERLINK \l _Toc19909 </w:instrText>
          </w:r>
          <w: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1.1.2、 </w:t>
          </w:r>
          <w:r>
            <w:rPr>
              <w:rFonts w:hint="eastAsia"/>
            </w:rPr>
            <w:t>单位信息完善</w:t>
          </w:r>
          <w:r>
            <w:tab/>
          </w:r>
          <w:r>
            <w:fldChar w:fldCharType="begin"/>
          </w:r>
          <w:r>
            <w:instrText xml:space="preserve"> PAGEREF _Toc19909 \h </w:instrText>
          </w:r>
          <w:r>
            <w:fldChar w:fldCharType="separate"/>
          </w:r>
          <w:r>
            <w:t>6</w:t>
          </w:r>
          <w:r>
            <w:fldChar w:fldCharType="end"/>
          </w:r>
          <w:r>
            <w:fldChar w:fldCharType="end"/>
          </w:r>
        </w:p>
        <w:p w14:paraId="540A5A0D">
          <w:pPr>
            <w:pStyle w:val="10"/>
            <w:tabs>
              <w:tab w:val="right" w:leader="dot" w:pos="8306"/>
            </w:tabs>
          </w:pPr>
          <w:r>
            <w:fldChar w:fldCharType="begin"/>
          </w:r>
          <w:r>
            <w:instrText xml:space="preserve"> HYPERLINK \l _Toc18871 </w:instrText>
          </w:r>
          <w:r>
            <w:fldChar w:fldCharType="separate"/>
          </w:r>
          <w:r>
            <w:rPr>
              <w:rFonts w:hint="default" w:ascii="Times New Roman" w:hAnsi="Times New Roman" w:cs="Times New Roman"/>
              <w:szCs w:val="30"/>
            </w:rPr>
            <w:t xml:space="preserve">1.2、 </w:t>
          </w:r>
          <w:r>
            <w:rPr>
              <w:rFonts w:hint="eastAsia"/>
            </w:rPr>
            <w:t>新建企业注册入库</w:t>
          </w:r>
          <w:r>
            <w:tab/>
          </w:r>
          <w:r>
            <w:fldChar w:fldCharType="begin"/>
          </w:r>
          <w:r>
            <w:instrText xml:space="preserve"> PAGEREF _Toc18871 \h </w:instrText>
          </w:r>
          <w:r>
            <w:fldChar w:fldCharType="separate"/>
          </w:r>
          <w:r>
            <w:t>8</w:t>
          </w:r>
          <w:r>
            <w:fldChar w:fldCharType="end"/>
          </w:r>
          <w:r>
            <w:fldChar w:fldCharType="end"/>
          </w:r>
        </w:p>
        <w:p w14:paraId="7A6E590F">
          <w:pPr>
            <w:pStyle w:val="6"/>
            <w:tabs>
              <w:tab w:val="right" w:leader="dot" w:pos="8306"/>
            </w:tabs>
          </w:pPr>
          <w:r>
            <w:fldChar w:fldCharType="begin"/>
          </w:r>
          <w:r>
            <w:instrText xml:space="preserve"> HYPERLINK \l _Toc3134 </w:instrText>
          </w:r>
          <w: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1.2.1、 </w:t>
          </w:r>
          <w:r>
            <w:rPr>
              <w:rFonts w:hint="eastAsia"/>
            </w:rPr>
            <w:t>注册入库</w:t>
          </w:r>
          <w:r>
            <w:tab/>
          </w:r>
          <w:r>
            <w:fldChar w:fldCharType="begin"/>
          </w:r>
          <w:r>
            <w:instrText xml:space="preserve"> PAGEREF _Toc3134 \h </w:instrText>
          </w:r>
          <w:r>
            <w:fldChar w:fldCharType="separate"/>
          </w:r>
          <w:r>
            <w:t>8</w:t>
          </w:r>
          <w:r>
            <w:fldChar w:fldCharType="end"/>
          </w:r>
          <w:r>
            <w:fldChar w:fldCharType="end"/>
          </w:r>
        </w:p>
        <w:p w14:paraId="03E7F1F0">
          <w:pPr>
            <w:pStyle w:val="6"/>
            <w:tabs>
              <w:tab w:val="right" w:leader="dot" w:pos="8306"/>
            </w:tabs>
          </w:pPr>
          <w:r>
            <w:fldChar w:fldCharType="begin"/>
          </w:r>
          <w:r>
            <w:instrText xml:space="preserve"> HYPERLINK \l _Toc15876 </w:instrText>
          </w:r>
          <w: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1.2.2、 </w:t>
          </w:r>
          <w:r>
            <w:rPr>
              <w:rFonts w:hint="eastAsia"/>
            </w:rPr>
            <w:t>单位信息完善</w:t>
          </w:r>
          <w:r>
            <w:tab/>
          </w:r>
          <w:r>
            <w:fldChar w:fldCharType="begin"/>
          </w:r>
          <w:r>
            <w:instrText xml:space="preserve"> PAGEREF _Toc15876 \h </w:instrText>
          </w:r>
          <w:r>
            <w:fldChar w:fldCharType="separate"/>
          </w:r>
          <w:r>
            <w:t>10</w:t>
          </w:r>
          <w:r>
            <w:fldChar w:fldCharType="end"/>
          </w:r>
          <w:r>
            <w:fldChar w:fldCharType="end"/>
          </w:r>
        </w:p>
        <w:p w14:paraId="3C312CFC">
          <w:pPr>
            <w:pStyle w:val="9"/>
            <w:tabs>
              <w:tab w:val="right" w:leader="dot" w:pos="8306"/>
            </w:tabs>
          </w:pPr>
          <w:r>
            <w:fldChar w:fldCharType="begin"/>
          </w:r>
          <w:r>
            <w:instrText xml:space="preserve"> HYPERLINK \l _Toc10065 </w:instrText>
          </w:r>
          <w:r>
            <w:fldChar w:fldCharType="separate"/>
          </w:r>
          <w:r>
            <w:rPr>
              <w:rFonts w:hint="eastAsia"/>
              <w:lang w:val="en-US"/>
            </w:rPr>
            <w:t xml:space="preserve">二、 </w:t>
          </w:r>
          <w:r>
            <w:rPr>
              <w:rFonts w:hint="eastAsia"/>
            </w:rPr>
            <w:t>用能权交易业务操作</w:t>
          </w:r>
          <w:r>
            <w:tab/>
          </w:r>
          <w:r>
            <w:fldChar w:fldCharType="begin"/>
          </w:r>
          <w:r>
            <w:instrText xml:space="preserve"> PAGEREF _Toc10065 \h </w:instrText>
          </w:r>
          <w:r>
            <w:fldChar w:fldCharType="separate"/>
          </w:r>
          <w:r>
            <w:t>12</w:t>
          </w:r>
          <w:r>
            <w:fldChar w:fldCharType="end"/>
          </w:r>
          <w:r>
            <w:fldChar w:fldCharType="end"/>
          </w:r>
        </w:p>
        <w:p w14:paraId="1F3329FD">
          <w:pPr>
            <w:pStyle w:val="10"/>
            <w:tabs>
              <w:tab w:val="right" w:leader="dot" w:pos="8306"/>
            </w:tabs>
          </w:pPr>
          <w:r>
            <w:fldChar w:fldCharType="begin"/>
          </w:r>
          <w:r>
            <w:instrText xml:space="preserve"> HYPERLINK \l _Toc28542 </w:instrText>
          </w:r>
          <w:r>
            <w:fldChar w:fldCharType="separate"/>
          </w:r>
          <w:r>
            <w:rPr>
              <w:rFonts w:hint="default" w:ascii="Times New Roman" w:hAnsi="Times New Roman" w:cs="Times New Roman"/>
              <w:szCs w:val="30"/>
            </w:rPr>
            <w:t xml:space="preserve">2.1、 </w:t>
          </w:r>
          <w:r>
            <w:rPr>
              <w:rFonts w:hint="eastAsia"/>
            </w:rPr>
            <w:t>查看交易公告</w:t>
          </w:r>
          <w:r>
            <w:tab/>
          </w:r>
          <w:r>
            <w:fldChar w:fldCharType="begin"/>
          </w:r>
          <w:r>
            <w:instrText xml:space="preserve"> PAGEREF _Toc28542 \h </w:instrText>
          </w:r>
          <w:r>
            <w:fldChar w:fldCharType="separate"/>
          </w:r>
          <w:r>
            <w:t>12</w:t>
          </w:r>
          <w:r>
            <w:fldChar w:fldCharType="end"/>
          </w:r>
          <w:r>
            <w:fldChar w:fldCharType="end"/>
          </w:r>
        </w:p>
        <w:p w14:paraId="5ACCCDEE">
          <w:pPr>
            <w:pStyle w:val="10"/>
            <w:tabs>
              <w:tab w:val="right" w:leader="dot" w:pos="8306"/>
            </w:tabs>
          </w:pPr>
          <w:r>
            <w:fldChar w:fldCharType="begin"/>
          </w:r>
          <w:r>
            <w:instrText xml:space="preserve"> HYPERLINK \l _Toc19184 </w:instrText>
          </w:r>
          <w:r>
            <w:fldChar w:fldCharType="separate"/>
          </w:r>
          <w:r>
            <w:rPr>
              <w:rFonts w:hint="default" w:ascii="Times New Roman" w:hAnsi="Times New Roman" w:cs="Times New Roman"/>
              <w:szCs w:val="30"/>
            </w:rPr>
            <w:t xml:space="preserve">2.2、 </w:t>
          </w:r>
          <w:r>
            <w:rPr>
              <w:rFonts w:hint="eastAsia"/>
            </w:rPr>
            <w:t>缴纳保证金</w:t>
          </w:r>
          <w:r>
            <w:tab/>
          </w:r>
          <w:r>
            <w:fldChar w:fldCharType="begin"/>
          </w:r>
          <w:r>
            <w:instrText xml:space="preserve"> PAGEREF _Toc19184 \h </w:instrText>
          </w:r>
          <w:r>
            <w:fldChar w:fldCharType="separate"/>
          </w:r>
          <w:r>
            <w:t>13</w:t>
          </w:r>
          <w:r>
            <w:fldChar w:fldCharType="end"/>
          </w:r>
          <w:r>
            <w:fldChar w:fldCharType="end"/>
          </w:r>
        </w:p>
        <w:p w14:paraId="43096FC4">
          <w:pPr>
            <w:pStyle w:val="10"/>
            <w:tabs>
              <w:tab w:val="right" w:leader="dot" w:pos="8306"/>
            </w:tabs>
          </w:pPr>
          <w:r>
            <w:fldChar w:fldCharType="begin"/>
          </w:r>
          <w:r>
            <w:instrText xml:space="preserve"> HYPERLINK \l _Toc16307 </w:instrText>
          </w:r>
          <w:r>
            <w:fldChar w:fldCharType="separate"/>
          </w:r>
          <w:r>
            <w:rPr>
              <w:rFonts w:hint="default" w:ascii="Times New Roman" w:hAnsi="Times New Roman" w:cs="Times New Roman"/>
              <w:szCs w:val="30"/>
            </w:rPr>
            <w:t xml:space="preserve">2.3、 </w:t>
          </w:r>
          <w:r>
            <w:rPr>
              <w:rFonts w:hint="eastAsia"/>
            </w:rPr>
            <w:t>网上竞价</w:t>
          </w:r>
          <w:r>
            <w:tab/>
          </w:r>
          <w:r>
            <w:fldChar w:fldCharType="begin"/>
          </w:r>
          <w:r>
            <w:instrText xml:space="preserve"> PAGEREF _Toc16307 \h </w:instrText>
          </w:r>
          <w:r>
            <w:fldChar w:fldCharType="separate"/>
          </w:r>
          <w:r>
            <w:t>14</w:t>
          </w:r>
          <w:r>
            <w:fldChar w:fldCharType="end"/>
          </w:r>
          <w:r>
            <w:fldChar w:fldCharType="end"/>
          </w:r>
        </w:p>
        <w:p w14:paraId="369A6282">
          <w:pPr>
            <w:pStyle w:val="10"/>
            <w:tabs>
              <w:tab w:val="right" w:leader="dot" w:pos="8306"/>
            </w:tabs>
          </w:pPr>
          <w:r>
            <w:fldChar w:fldCharType="begin"/>
          </w:r>
          <w:r>
            <w:instrText xml:space="preserve"> HYPERLINK \l _Toc2687 </w:instrText>
          </w:r>
          <w:r>
            <w:fldChar w:fldCharType="separate"/>
          </w:r>
          <w:r>
            <w:rPr>
              <w:rFonts w:hint="default" w:ascii="Times New Roman" w:hAnsi="Times New Roman" w:eastAsia="思源宋体 CN ExtraLight" w:cs="Times New Roman"/>
              <w:bCs/>
              <w:kern w:val="2"/>
              <w:szCs w:val="30"/>
              <w:lang w:val="en-US" w:eastAsia="zh-CN" w:bidi="ar-SA"/>
            </w:rPr>
            <w:t xml:space="preserve">2.4、 </w:t>
          </w:r>
          <w:r>
            <w:rPr>
              <w:rFonts w:hint="eastAsia" w:ascii="Times New Roman" w:hAnsi="Times New Roman" w:eastAsia="思源宋体 CN ExtraLight" w:cs="Times New Roman"/>
              <w:bCs/>
              <w:kern w:val="2"/>
              <w:szCs w:val="32"/>
              <w:lang w:val="en-US" w:eastAsia="zh-CN" w:bidi="ar-SA"/>
            </w:rPr>
            <w:t>合同备案</w:t>
          </w:r>
          <w:r>
            <w:tab/>
          </w:r>
          <w:r>
            <w:fldChar w:fldCharType="begin"/>
          </w:r>
          <w:r>
            <w:instrText xml:space="preserve"> PAGEREF _Toc2687 \h </w:instrText>
          </w:r>
          <w:r>
            <w:fldChar w:fldCharType="separate"/>
          </w:r>
          <w:r>
            <w:t>19</w:t>
          </w:r>
          <w:r>
            <w:fldChar w:fldCharType="end"/>
          </w:r>
          <w:r>
            <w:fldChar w:fldCharType="end"/>
          </w:r>
        </w:p>
        <w:p w14:paraId="296C9DB4">
          <w:pPr>
            <w:pStyle w:val="10"/>
            <w:tabs>
              <w:tab w:val="right" w:leader="dot" w:pos="8306"/>
            </w:tabs>
          </w:pPr>
          <w:r>
            <w:fldChar w:fldCharType="begin"/>
          </w:r>
          <w:r>
            <w:instrText xml:space="preserve"> HYPERLINK \l _Toc22703 </w:instrText>
          </w:r>
          <w:r>
            <w:fldChar w:fldCharType="separate"/>
          </w:r>
          <w:r>
            <w:rPr>
              <w:rFonts w:hint="default" w:ascii="Times New Roman" w:hAnsi="Times New Roman" w:cs="Times New Roman"/>
              <w:szCs w:val="30"/>
            </w:rPr>
            <w:t xml:space="preserve">2.5、 </w:t>
          </w:r>
          <w:r>
            <w:rPr>
              <w:rFonts w:hint="eastAsia"/>
            </w:rPr>
            <w:t>资金交割</w:t>
          </w:r>
          <w:r>
            <w:tab/>
          </w:r>
          <w:r>
            <w:fldChar w:fldCharType="begin"/>
          </w:r>
          <w:r>
            <w:instrText xml:space="preserve"> PAGEREF _Toc22703 \h </w:instrText>
          </w:r>
          <w:r>
            <w:fldChar w:fldCharType="separate"/>
          </w:r>
          <w:r>
            <w:t>19</w:t>
          </w:r>
          <w:r>
            <w:fldChar w:fldCharType="end"/>
          </w:r>
          <w:r>
            <w:fldChar w:fldCharType="end"/>
          </w:r>
        </w:p>
        <w:p w14:paraId="0B9E2AA0">
          <w:pPr>
            <w:tabs>
              <w:tab w:val="left" w:pos="6103"/>
            </w:tabs>
            <w:ind w:firstLine="0" w:firstLineChars="0"/>
          </w:pPr>
          <w:r>
            <w:fldChar w:fldCharType="end"/>
          </w:r>
        </w:p>
      </w:sdtContent>
    </w:sdt>
    <w:p w14:paraId="4DD5F778">
      <w:pPr>
        <w:pStyle w:val="15"/>
        <w:ind w:firstLine="0" w:firstLineChars="0"/>
        <w:rPr>
          <w:b/>
        </w:rPr>
      </w:pPr>
    </w:p>
    <w:p w14:paraId="24838B0A">
      <w:pPr>
        <w:pStyle w:val="15"/>
        <w:ind w:firstLine="0" w:firstLineChars="0"/>
        <w:rPr>
          <w:b/>
        </w:rPr>
      </w:pPr>
    </w:p>
    <w:p w14:paraId="6579CD4E">
      <w:pPr>
        <w:pStyle w:val="15"/>
        <w:ind w:firstLine="0" w:firstLineChars="0"/>
        <w:rPr>
          <w:b/>
        </w:rPr>
      </w:pPr>
    </w:p>
    <w:p w14:paraId="0CC61EE7">
      <w:pPr>
        <w:pStyle w:val="15"/>
        <w:ind w:firstLine="0" w:firstLineChars="0"/>
        <w:rPr>
          <w:b/>
        </w:rPr>
      </w:pPr>
    </w:p>
    <w:p w14:paraId="279C372C">
      <w:pPr>
        <w:pStyle w:val="15"/>
        <w:ind w:firstLine="0" w:firstLineChars="0"/>
        <w:rPr>
          <w:b/>
        </w:rPr>
      </w:pPr>
    </w:p>
    <w:p w14:paraId="2EFD4FC1">
      <w:pPr>
        <w:pStyle w:val="15"/>
        <w:ind w:firstLine="0" w:firstLineChars="0"/>
        <w:rPr>
          <w:b/>
        </w:rPr>
      </w:pPr>
    </w:p>
    <w:p w14:paraId="46E95E81">
      <w:pPr>
        <w:pStyle w:val="15"/>
        <w:ind w:firstLine="0" w:firstLineChars="0"/>
        <w:rPr>
          <w:b/>
        </w:rPr>
      </w:pPr>
    </w:p>
    <w:p w14:paraId="01DB47F8">
      <w:pPr>
        <w:pStyle w:val="15"/>
        <w:ind w:firstLine="0" w:firstLineChars="0"/>
        <w:rPr>
          <w:b/>
        </w:rPr>
      </w:pPr>
    </w:p>
    <w:p w14:paraId="5464A50C">
      <w:pPr>
        <w:pStyle w:val="15"/>
        <w:ind w:firstLine="0" w:firstLineChars="0"/>
        <w:rPr>
          <w:b/>
        </w:rPr>
      </w:pPr>
    </w:p>
    <w:p w14:paraId="341CA0CB">
      <w:pPr>
        <w:pStyle w:val="15"/>
        <w:ind w:firstLine="0" w:firstLineChars="0"/>
        <w:rPr>
          <w:b/>
        </w:rPr>
      </w:pPr>
    </w:p>
    <w:p w14:paraId="49AA2204">
      <w:pPr>
        <w:pStyle w:val="15"/>
        <w:ind w:firstLine="0" w:firstLineChars="0"/>
        <w:rPr>
          <w:rFonts w:ascii="思源宋体 CN ExtraLight" w:hAnsi="思源宋体 CN ExtraLight" w:cs="思源宋体 CN ExtraLight"/>
          <w:b/>
        </w:rPr>
      </w:pPr>
      <w:r>
        <w:rPr>
          <w:rFonts w:hint="eastAsia" w:ascii="思源宋体 CN ExtraLight" w:hAnsi="思源宋体 CN ExtraLight" w:cs="思源宋体 CN ExtraLight"/>
          <w:b/>
        </w:rPr>
        <w:t>修订记录</w:t>
      </w:r>
    </w:p>
    <w:tbl>
      <w:tblPr>
        <w:tblStyle w:val="11"/>
        <w:tblW w:w="8285" w:type="dxa"/>
        <w:tblInd w:w="103" w:type="dxa"/>
        <w:tblLayout w:type="fixed"/>
        <w:tblCellMar>
          <w:top w:w="0" w:type="dxa"/>
          <w:left w:w="108" w:type="dxa"/>
          <w:bottom w:w="0" w:type="dxa"/>
          <w:right w:w="108" w:type="dxa"/>
        </w:tblCellMar>
      </w:tblPr>
      <w:tblGrid>
        <w:gridCol w:w="1085"/>
        <w:gridCol w:w="1472"/>
        <w:gridCol w:w="2646"/>
        <w:gridCol w:w="1188"/>
        <w:gridCol w:w="1894"/>
      </w:tblGrid>
      <w:tr w14:paraId="37E5A8A1">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14:paraId="1EE7CD25">
            <w:pPr>
              <w:pStyle w:val="16"/>
              <w:jc w:val="center"/>
              <w:rPr>
                <w:rFonts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版本</w:t>
            </w:r>
          </w:p>
        </w:tc>
        <w:tc>
          <w:tcPr>
            <w:tcW w:w="1472" w:type="dxa"/>
            <w:tcBorders>
              <w:top w:val="single" w:color="auto" w:sz="4" w:space="0"/>
              <w:left w:val="nil"/>
              <w:bottom w:val="single" w:color="auto" w:sz="4" w:space="0"/>
              <w:right w:val="single" w:color="auto" w:sz="4" w:space="0"/>
            </w:tcBorders>
            <w:shd w:val="clear" w:color="auto" w:fill="auto"/>
            <w:vAlign w:val="center"/>
          </w:tcPr>
          <w:p w14:paraId="3DB5C82D">
            <w:pPr>
              <w:pStyle w:val="16"/>
              <w:jc w:val="center"/>
              <w:rPr>
                <w:rFonts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修改日期</w:t>
            </w:r>
          </w:p>
        </w:tc>
        <w:tc>
          <w:tcPr>
            <w:tcW w:w="2646" w:type="dxa"/>
            <w:tcBorders>
              <w:top w:val="single" w:color="auto" w:sz="4" w:space="0"/>
              <w:left w:val="nil"/>
              <w:bottom w:val="single" w:color="auto" w:sz="4" w:space="0"/>
              <w:right w:val="single" w:color="auto" w:sz="4" w:space="0"/>
            </w:tcBorders>
            <w:shd w:val="clear" w:color="auto" w:fill="auto"/>
            <w:vAlign w:val="center"/>
          </w:tcPr>
          <w:p w14:paraId="01CD47FC">
            <w:pPr>
              <w:pStyle w:val="16"/>
              <w:jc w:val="center"/>
              <w:rPr>
                <w:rFonts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修改内容</w:t>
            </w:r>
          </w:p>
        </w:tc>
        <w:tc>
          <w:tcPr>
            <w:tcW w:w="1188" w:type="dxa"/>
            <w:tcBorders>
              <w:top w:val="single" w:color="auto" w:sz="4" w:space="0"/>
              <w:left w:val="nil"/>
              <w:bottom w:val="single" w:color="auto" w:sz="4" w:space="0"/>
              <w:right w:val="single" w:color="auto" w:sz="4" w:space="0"/>
            </w:tcBorders>
            <w:shd w:val="clear" w:color="auto" w:fill="auto"/>
            <w:vAlign w:val="center"/>
          </w:tcPr>
          <w:p w14:paraId="3B4F35A9">
            <w:pPr>
              <w:pStyle w:val="16"/>
              <w:jc w:val="center"/>
              <w:rPr>
                <w:rFonts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修改人</w:t>
            </w:r>
          </w:p>
        </w:tc>
        <w:tc>
          <w:tcPr>
            <w:tcW w:w="1894" w:type="dxa"/>
            <w:tcBorders>
              <w:top w:val="single" w:color="auto" w:sz="4" w:space="0"/>
              <w:left w:val="nil"/>
              <w:bottom w:val="single" w:color="auto" w:sz="4" w:space="0"/>
              <w:right w:val="single" w:color="auto" w:sz="4" w:space="0"/>
            </w:tcBorders>
            <w:shd w:val="clear" w:color="auto" w:fill="auto"/>
            <w:vAlign w:val="center"/>
          </w:tcPr>
          <w:p w14:paraId="68CA6731">
            <w:pPr>
              <w:pStyle w:val="16"/>
              <w:jc w:val="center"/>
              <w:rPr>
                <w:rFonts w:ascii="思源宋体 CN ExtraLight" w:hAnsi="思源宋体 CN ExtraLight" w:eastAsia="思源宋体 CN ExtraLight" w:cs="思源宋体 CN ExtraLight"/>
                <w:b/>
              </w:rPr>
            </w:pPr>
            <w:r>
              <w:rPr>
                <w:rFonts w:hint="eastAsia" w:ascii="思源宋体 CN ExtraLight" w:hAnsi="思源宋体 CN ExtraLight" w:eastAsia="思源宋体 CN ExtraLight" w:cs="思源宋体 CN ExtraLight"/>
                <w:b/>
              </w:rPr>
              <w:t>备注</w:t>
            </w:r>
          </w:p>
        </w:tc>
      </w:tr>
      <w:tr w14:paraId="16C5F640">
        <w:tblPrEx>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0082FC90">
            <w:pPr>
              <w:pStyle w:val="16"/>
              <w:jc w:val="center"/>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7.1.</w:t>
            </w:r>
            <w:r>
              <w:rPr>
                <w:rFonts w:ascii="思源宋体 CN ExtraLight" w:hAnsi="思源宋体 CN ExtraLight" w:eastAsia="思源宋体 CN ExtraLight" w:cs="思源宋体 CN ExtraLight"/>
              </w:rPr>
              <w:t>50.2</w:t>
            </w:r>
          </w:p>
        </w:tc>
        <w:tc>
          <w:tcPr>
            <w:tcW w:w="1472" w:type="dxa"/>
            <w:tcBorders>
              <w:top w:val="nil"/>
              <w:left w:val="nil"/>
              <w:bottom w:val="single" w:color="auto" w:sz="4" w:space="0"/>
              <w:right w:val="single" w:color="auto" w:sz="4" w:space="0"/>
            </w:tcBorders>
            <w:shd w:val="clear" w:color="auto" w:fill="auto"/>
            <w:vAlign w:val="center"/>
          </w:tcPr>
          <w:p w14:paraId="3C1FCC25">
            <w:pPr>
              <w:pStyle w:val="16"/>
              <w:jc w:val="center"/>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202</w:t>
            </w:r>
            <w:r>
              <w:rPr>
                <w:rFonts w:ascii="思源宋体 CN ExtraLight" w:hAnsi="思源宋体 CN ExtraLight" w:eastAsia="思源宋体 CN ExtraLight" w:cs="思源宋体 CN ExtraLight"/>
              </w:rPr>
              <w:t>1</w:t>
            </w:r>
            <w:r>
              <w:rPr>
                <w:rFonts w:hint="eastAsia" w:ascii="思源宋体 CN ExtraLight" w:hAnsi="思源宋体 CN ExtraLight" w:eastAsia="思源宋体 CN ExtraLight" w:cs="思源宋体 CN ExtraLight"/>
              </w:rPr>
              <w:t>-</w:t>
            </w:r>
            <w:r>
              <w:rPr>
                <w:rFonts w:ascii="思源宋体 CN ExtraLight" w:hAnsi="思源宋体 CN ExtraLight" w:eastAsia="思源宋体 CN ExtraLight" w:cs="思源宋体 CN ExtraLight"/>
              </w:rPr>
              <w:t>12</w:t>
            </w:r>
            <w:r>
              <w:rPr>
                <w:rFonts w:hint="eastAsia" w:ascii="思源宋体 CN ExtraLight" w:hAnsi="思源宋体 CN ExtraLight" w:eastAsia="思源宋体 CN ExtraLight" w:cs="思源宋体 CN ExtraLight"/>
              </w:rPr>
              <w:t>-</w:t>
            </w:r>
            <w:r>
              <w:rPr>
                <w:rFonts w:ascii="思源宋体 CN ExtraLight" w:hAnsi="思源宋体 CN ExtraLight" w:eastAsia="思源宋体 CN ExtraLight" w:cs="思源宋体 CN ExtraLight"/>
              </w:rPr>
              <w:t>10</w:t>
            </w:r>
          </w:p>
        </w:tc>
        <w:tc>
          <w:tcPr>
            <w:tcW w:w="2646" w:type="dxa"/>
            <w:tcBorders>
              <w:top w:val="nil"/>
              <w:left w:val="nil"/>
              <w:bottom w:val="single" w:color="auto" w:sz="4" w:space="0"/>
              <w:right w:val="single" w:color="auto" w:sz="4" w:space="0"/>
            </w:tcBorders>
            <w:shd w:val="clear" w:color="auto" w:fill="auto"/>
            <w:vAlign w:val="center"/>
          </w:tcPr>
          <w:p w14:paraId="2AE78B40">
            <w:pPr>
              <w:pStyle w:val="16"/>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编写操作手册</w:t>
            </w:r>
          </w:p>
        </w:tc>
        <w:tc>
          <w:tcPr>
            <w:tcW w:w="1188" w:type="dxa"/>
            <w:tcBorders>
              <w:top w:val="nil"/>
              <w:left w:val="nil"/>
              <w:bottom w:val="single" w:color="auto" w:sz="4" w:space="0"/>
              <w:right w:val="single" w:color="auto" w:sz="4" w:space="0"/>
            </w:tcBorders>
            <w:shd w:val="clear" w:color="auto" w:fill="auto"/>
            <w:vAlign w:val="center"/>
          </w:tcPr>
          <w:p w14:paraId="0FD5D318">
            <w:pPr>
              <w:pStyle w:val="16"/>
              <w:jc w:val="center"/>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安俊超</w:t>
            </w:r>
          </w:p>
        </w:tc>
        <w:tc>
          <w:tcPr>
            <w:tcW w:w="1894" w:type="dxa"/>
            <w:tcBorders>
              <w:top w:val="nil"/>
              <w:left w:val="nil"/>
              <w:bottom w:val="single" w:color="auto" w:sz="4" w:space="0"/>
              <w:right w:val="single" w:color="auto" w:sz="4" w:space="0"/>
            </w:tcBorders>
            <w:shd w:val="clear" w:color="auto" w:fill="auto"/>
            <w:vAlign w:val="center"/>
          </w:tcPr>
          <w:p w14:paraId="19100614">
            <w:pPr>
              <w:pStyle w:val="16"/>
              <w:rPr>
                <w:rFonts w:ascii="思源宋体 CN ExtraLight" w:hAnsi="思源宋体 CN ExtraLight" w:eastAsia="思源宋体 CN ExtraLight" w:cs="思源宋体 CN ExtraLight"/>
              </w:rPr>
            </w:pPr>
          </w:p>
        </w:tc>
      </w:tr>
      <w:tr w14:paraId="52B9C721">
        <w:tblPrEx>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4384A594">
            <w:pPr>
              <w:ind w:left="0" w:leftChars="0" w:firstLine="0" w:firstLineChars="0"/>
              <w:jc w:val="center"/>
              <w:rPr>
                <w:rFonts w:hint="default" w:ascii="思源宋体 CN ExtraLight" w:hAnsi="思源宋体 CN ExtraLight" w:eastAsia="思源宋体 CN ExtraLight" w:cs="思源宋体 CN ExtraLight"/>
                <w:lang w:val="en-US" w:eastAsia="zh-CN"/>
              </w:rPr>
            </w:pPr>
            <w:r>
              <w:rPr>
                <w:rFonts w:hint="eastAsia" w:ascii="思源宋体 CN ExtraLight" w:hAnsi="思源宋体 CN ExtraLight" w:cs="思源宋体 CN ExtraLight"/>
                <w:lang w:val="en-US" w:eastAsia="zh-CN"/>
              </w:rPr>
              <w:t>7.1.50.2</w:t>
            </w:r>
          </w:p>
        </w:tc>
        <w:tc>
          <w:tcPr>
            <w:tcW w:w="1472" w:type="dxa"/>
            <w:tcBorders>
              <w:top w:val="nil"/>
              <w:left w:val="nil"/>
              <w:bottom w:val="single" w:color="auto" w:sz="4" w:space="0"/>
              <w:right w:val="single" w:color="auto" w:sz="4" w:space="0"/>
            </w:tcBorders>
            <w:shd w:val="clear" w:color="auto" w:fill="auto"/>
            <w:vAlign w:val="center"/>
          </w:tcPr>
          <w:p w14:paraId="52D0FEAC">
            <w:pPr>
              <w:ind w:left="0" w:leftChars="0" w:firstLine="0" w:firstLineChars="0"/>
              <w:jc w:val="center"/>
              <w:rPr>
                <w:rFonts w:hint="default" w:ascii="思源宋体 CN ExtraLight" w:hAnsi="思源宋体 CN ExtraLight" w:eastAsia="思源宋体 CN ExtraLight" w:cs="思源宋体 CN ExtraLight"/>
                <w:lang w:val="en-US" w:eastAsia="zh-CN"/>
              </w:rPr>
            </w:pPr>
            <w:r>
              <w:rPr>
                <w:rFonts w:hint="eastAsia" w:ascii="思源宋体 CN ExtraLight" w:hAnsi="思源宋体 CN ExtraLight" w:cs="思源宋体 CN ExtraLight"/>
                <w:lang w:val="en-US" w:eastAsia="zh-CN"/>
              </w:rPr>
              <w:t>2024-11-20</w:t>
            </w:r>
          </w:p>
        </w:tc>
        <w:tc>
          <w:tcPr>
            <w:tcW w:w="2646" w:type="dxa"/>
            <w:tcBorders>
              <w:top w:val="nil"/>
              <w:left w:val="nil"/>
              <w:bottom w:val="single" w:color="auto" w:sz="4" w:space="0"/>
              <w:right w:val="single" w:color="auto" w:sz="4" w:space="0"/>
            </w:tcBorders>
            <w:shd w:val="clear" w:color="auto" w:fill="auto"/>
            <w:vAlign w:val="center"/>
          </w:tcPr>
          <w:p w14:paraId="36C6F982">
            <w:pPr>
              <w:ind w:left="0" w:leftChars="0" w:firstLine="0" w:firstLineChars="0"/>
              <w:rPr>
                <w:rFonts w:ascii="思源宋体 CN ExtraLight" w:hAnsi="思源宋体 CN ExtraLight" w:cs="思源宋体 CN ExtraLight"/>
              </w:rPr>
            </w:pPr>
            <w:r>
              <w:rPr>
                <w:rFonts w:hint="eastAsia" w:ascii="思源宋体 CN ExtraLight" w:hAnsi="思源宋体 CN ExtraLight" w:cs="思源宋体 CN ExtraLight"/>
                <w:kern w:val="2"/>
                <w:sz w:val="21"/>
                <w:szCs w:val="24"/>
                <w:lang w:val="en-US" w:eastAsia="zh-CN" w:bidi="ar-SA"/>
              </w:rPr>
              <w:t>根据陕西省用能权管理办法更新相关系统功能</w:t>
            </w:r>
            <w:r>
              <w:rPr>
                <w:rFonts w:hint="eastAsia" w:ascii="思源宋体 CN ExtraLight" w:hAnsi="思源宋体 CN ExtraLight" w:cs="思源宋体 CN ExtraLight"/>
              </w:rPr>
              <w:t>　</w:t>
            </w:r>
          </w:p>
        </w:tc>
        <w:tc>
          <w:tcPr>
            <w:tcW w:w="1188" w:type="dxa"/>
            <w:tcBorders>
              <w:top w:val="nil"/>
              <w:left w:val="nil"/>
              <w:bottom w:val="single" w:color="auto" w:sz="4" w:space="0"/>
              <w:right w:val="single" w:color="auto" w:sz="4" w:space="0"/>
            </w:tcBorders>
            <w:shd w:val="clear" w:color="auto" w:fill="auto"/>
            <w:vAlign w:val="center"/>
          </w:tcPr>
          <w:p w14:paraId="0A5EAEB8">
            <w:pPr>
              <w:ind w:left="0" w:leftChars="0" w:firstLine="0" w:firstLineChars="0"/>
              <w:jc w:val="center"/>
              <w:rPr>
                <w:rFonts w:ascii="思源宋体 CN ExtraLight" w:hAnsi="思源宋体 CN ExtraLight" w:cs="思源宋体 CN ExtraLight"/>
              </w:rPr>
            </w:pPr>
            <w:r>
              <w:rPr>
                <w:rFonts w:hint="eastAsia" w:ascii="思源宋体 CN ExtraLight" w:hAnsi="思源宋体 CN ExtraLight" w:cs="思源宋体 CN ExtraLight"/>
                <w:lang w:val="en-US" w:eastAsia="zh-CN"/>
              </w:rPr>
              <w:t>袁金宝</w:t>
            </w:r>
          </w:p>
        </w:tc>
        <w:tc>
          <w:tcPr>
            <w:tcW w:w="1894" w:type="dxa"/>
            <w:tcBorders>
              <w:top w:val="nil"/>
              <w:left w:val="nil"/>
              <w:bottom w:val="single" w:color="auto" w:sz="4" w:space="0"/>
              <w:right w:val="single" w:color="auto" w:sz="4" w:space="0"/>
            </w:tcBorders>
            <w:shd w:val="clear" w:color="auto" w:fill="auto"/>
            <w:vAlign w:val="center"/>
          </w:tcPr>
          <w:p w14:paraId="6D618F0D">
            <w:pPr>
              <w:ind w:firstLine="420"/>
              <w:rPr>
                <w:rFonts w:ascii="思源宋体 CN ExtraLight" w:hAnsi="思源宋体 CN ExtraLight" w:cs="思源宋体 CN ExtraLight"/>
              </w:rPr>
            </w:pPr>
            <w:r>
              <w:rPr>
                <w:rFonts w:hint="eastAsia" w:ascii="思源宋体 CN ExtraLight" w:hAnsi="思源宋体 CN ExtraLight" w:cs="思源宋体 CN ExtraLight"/>
              </w:rPr>
              <w:t>　</w:t>
            </w:r>
          </w:p>
        </w:tc>
      </w:tr>
      <w:tr w14:paraId="009BA3EA">
        <w:tblPrEx>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3C191BEC">
            <w:pPr>
              <w:ind w:firstLine="420"/>
              <w:rPr>
                <w:rFonts w:ascii="思源宋体 CN ExtraLight" w:hAnsi="思源宋体 CN ExtraLight" w:cs="思源宋体 CN ExtraLight"/>
              </w:rPr>
            </w:pPr>
            <w:r>
              <w:rPr>
                <w:rFonts w:hint="eastAsia" w:ascii="思源宋体 CN ExtraLight" w:hAnsi="思源宋体 CN ExtraLight" w:cs="思源宋体 CN ExtraLight"/>
              </w:rPr>
              <w:t>　</w:t>
            </w:r>
          </w:p>
        </w:tc>
        <w:tc>
          <w:tcPr>
            <w:tcW w:w="1472" w:type="dxa"/>
            <w:tcBorders>
              <w:top w:val="nil"/>
              <w:left w:val="nil"/>
              <w:bottom w:val="single" w:color="auto" w:sz="4" w:space="0"/>
              <w:right w:val="single" w:color="auto" w:sz="4" w:space="0"/>
            </w:tcBorders>
            <w:shd w:val="clear" w:color="auto" w:fill="auto"/>
            <w:vAlign w:val="center"/>
          </w:tcPr>
          <w:p w14:paraId="2A510BE5">
            <w:pPr>
              <w:ind w:firstLine="420"/>
              <w:rPr>
                <w:rFonts w:ascii="思源宋体 CN ExtraLight" w:hAnsi="思源宋体 CN ExtraLight" w:cs="思源宋体 CN ExtraLight"/>
              </w:rPr>
            </w:pPr>
            <w:r>
              <w:rPr>
                <w:rFonts w:hint="eastAsia" w:ascii="思源宋体 CN ExtraLight" w:hAnsi="思源宋体 CN ExtraLight" w:cs="思源宋体 CN ExtraLight"/>
              </w:rPr>
              <w:t>　</w:t>
            </w:r>
          </w:p>
        </w:tc>
        <w:tc>
          <w:tcPr>
            <w:tcW w:w="2646" w:type="dxa"/>
            <w:tcBorders>
              <w:top w:val="nil"/>
              <w:left w:val="nil"/>
              <w:bottom w:val="single" w:color="auto" w:sz="4" w:space="0"/>
              <w:right w:val="single" w:color="auto" w:sz="4" w:space="0"/>
            </w:tcBorders>
            <w:shd w:val="clear" w:color="auto" w:fill="auto"/>
            <w:vAlign w:val="center"/>
          </w:tcPr>
          <w:p w14:paraId="02421DE5">
            <w:pPr>
              <w:ind w:firstLine="420"/>
              <w:rPr>
                <w:rFonts w:ascii="思源宋体 CN ExtraLight" w:hAnsi="思源宋体 CN ExtraLight" w:cs="思源宋体 CN ExtraLight"/>
              </w:rPr>
            </w:pPr>
            <w:r>
              <w:rPr>
                <w:rFonts w:hint="eastAsia" w:ascii="思源宋体 CN ExtraLight" w:hAnsi="思源宋体 CN ExtraLight" w:cs="思源宋体 CN ExtraLight"/>
              </w:rPr>
              <w:t>　</w:t>
            </w:r>
          </w:p>
        </w:tc>
        <w:tc>
          <w:tcPr>
            <w:tcW w:w="1188" w:type="dxa"/>
            <w:tcBorders>
              <w:top w:val="nil"/>
              <w:left w:val="nil"/>
              <w:bottom w:val="single" w:color="auto" w:sz="4" w:space="0"/>
              <w:right w:val="single" w:color="auto" w:sz="4" w:space="0"/>
            </w:tcBorders>
            <w:shd w:val="clear" w:color="auto" w:fill="auto"/>
            <w:vAlign w:val="center"/>
          </w:tcPr>
          <w:p w14:paraId="3D819B88">
            <w:pPr>
              <w:ind w:firstLine="420"/>
              <w:rPr>
                <w:rFonts w:ascii="思源宋体 CN ExtraLight" w:hAnsi="思源宋体 CN ExtraLight" w:cs="思源宋体 CN ExtraLight"/>
              </w:rPr>
            </w:pPr>
            <w:r>
              <w:rPr>
                <w:rFonts w:hint="eastAsia" w:ascii="思源宋体 CN ExtraLight" w:hAnsi="思源宋体 CN ExtraLight" w:cs="思源宋体 CN ExtraLight"/>
              </w:rPr>
              <w:t>　</w:t>
            </w:r>
          </w:p>
        </w:tc>
        <w:tc>
          <w:tcPr>
            <w:tcW w:w="1894" w:type="dxa"/>
            <w:tcBorders>
              <w:top w:val="nil"/>
              <w:left w:val="nil"/>
              <w:bottom w:val="single" w:color="auto" w:sz="4" w:space="0"/>
              <w:right w:val="single" w:color="auto" w:sz="4" w:space="0"/>
            </w:tcBorders>
            <w:shd w:val="clear" w:color="auto" w:fill="auto"/>
            <w:vAlign w:val="center"/>
          </w:tcPr>
          <w:p w14:paraId="303872DF">
            <w:pPr>
              <w:ind w:firstLine="420"/>
              <w:rPr>
                <w:rFonts w:ascii="思源宋体 CN ExtraLight" w:hAnsi="思源宋体 CN ExtraLight" w:cs="思源宋体 CN ExtraLight"/>
              </w:rPr>
            </w:pPr>
            <w:r>
              <w:rPr>
                <w:rFonts w:hint="eastAsia" w:ascii="思源宋体 CN ExtraLight" w:hAnsi="思源宋体 CN ExtraLight" w:cs="思源宋体 CN ExtraLight"/>
              </w:rPr>
              <w:t>　</w:t>
            </w:r>
          </w:p>
        </w:tc>
      </w:tr>
      <w:tr w14:paraId="15B9346A">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6DEC05BF">
            <w:pPr>
              <w:ind w:firstLine="420"/>
              <w:rPr>
                <w:rFonts w:ascii="思源宋体 CN ExtraLight" w:hAnsi="思源宋体 CN ExtraLight" w:cs="思源宋体 CN ExtraLight"/>
              </w:rPr>
            </w:pPr>
            <w:r>
              <w:rPr>
                <w:rFonts w:hint="eastAsia" w:ascii="思源宋体 CN ExtraLight" w:hAnsi="思源宋体 CN ExtraLight" w:cs="思源宋体 CN ExtraLight"/>
              </w:rPr>
              <w:t>　</w:t>
            </w:r>
          </w:p>
        </w:tc>
        <w:tc>
          <w:tcPr>
            <w:tcW w:w="1472" w:type="dxa"/>
            <w:tcBorders>
              <w:top w:val="nil"/>
              <w:left w:val="nil"/>
              <w:bottom w:val="single" w:color="auto" w:sz="4" w:space="0"/>
              <w:right w:val="single" w:color="auto" w:sz="4" w:space="0"/>
            </w:tcBorders>
            <w:shd w:val="clear" w:color="auto" w:fill="auto"/>
            <w:vAlign w:val="center"/>
          </w:tcPr>
          <w:p w14:paraId="12A56401">
            <w:pPr>
              <w:ind w:firstLine="420"/>
              <w:rPr>
                <w:rFonts w:ascii="思源宋体 CN ExtraLight" w:hAnsi="思源宋体 CN ExtraLight" w:cs="思源宋体 CN ExtraLight"/>
              </w:rPr>
            </w:pPr>
            <w:r>
              <w:rPr>
                <w:rFonts w:hint="eastAsia" w:ascii="思源宋体 CN ExtraLight" w:hAnsi="思源宋体 CN ExtraLight" w:cs="思源宋体 CN ExtraLight"/>
              </w:rPr>
              <w:t>　</w:t>
            </w:r>
          </w:p>
        </w:tc>
        <w:tc>
          <w:tcPr>
            <w:tcW w:w="2646" w:type="dxa"/>
            <w:tcBorders>
              <w:top w:val="nil"/>
              <w:left w:val="nil"/>
              <w:bottom w:val="single" w:color="auto" w:sz="4" w:space="0"/>
              <w:right w:val="single" w:color="auto" w:sz="4" w:space="0"/>
            </w:tcBorders>
            <w:shd w:val="clear" w:color="auto" w:fill="auto"/>
            <w:vAlign w:val="center"/>
          </w:tcPr>
          <w:p w14:paraId="6DFA43DE">
            <w:pPr>
              <w:ind w:firstLine="420"/>
              <w:rPr>
                <w:rFonts w:ascii="思源宋体 CN ExtraLight" w:hAnsi="思源宋体 CN ExtraLight" w:cs="思源宋体 CN ExtraLight"/>
              </w:rPr>
            </w:pPr>
            <w:r>
              <w:rPr>
                <w:rFonts w:hint="eastAsia" w:ascii="思源宋体 CN ExtraLight" w:hAnsi="思源宋体 CN ExtraLight" w:cs="思源宋体 CN ExtraLight"/>
              </w:rPr>
              <w:t>　</w:t>
            </w:r>
          </w:p>
        </w:tc>
        <w:tc>
          <w:tcPr>
            <w:tcW w:w="1188" w:type="dxa"/>
            <w:tcBorders>
              <w:top w:val="nil"/>
              <w:left w:val="nil"/>
              <w:bottom w:val="single" w:color="auto" w:sz="4" w:space="0"/>
              <w:right w:val="single" w:color="auto" w:sz="4" w:space="0"/>
            </w:tcBorders>
            <w:shd w:val="clear" w:color="auto" w:fill="auto"/>
            <w:vAlign w:val="center"/>
          </w:tcPr>
          <w:p w14:paraId="350A7CC2">
            <w:pPr>
              <w:ind w:firstLine="420"/>
              <w:rPr>
                <w:rFonts w:ascii="思源宋体 CN ExtraLight" w:hAnsi="思源宋体 CN ExtraLight" w:cs="思源宋体 CN ExtraLight"/>
              </w:rPr>
            </w:pPr>
            <w:r>
              <w:rPr>
                <w:rFonts w:hint="eastAsia" w:ascii="思源宋体 CN ExtraLight" w:hAnsi="思源宋体 CN ExtraLight" w:cs="思源宋体 CN ExtraLight"/>
              </w:rPr>
              <w:t>　</w:t>
            </w:r>
          </w:p>
        </w:tc>
        <w:tc>
          <w:tcPr>
            <w:tcW w:w="1894" w:type="dxa"/>
            <w:tcBorders>
              <w:top w:val="nil"/>
              <w:left w:val="nil"/>
              <w:bottom w:val="single" w:color="auto" w:sz="4" w:space="0"/>
              <w:right w:val="single" w:color="auto" w:sz="4" w:space="0"/>
            </w:tcBorders>
            <w:shd w:val="clear" w:color="auto" w:fill="auto"/>
            <w:vAlign w:val="center"/>
          </w:tcPr>
          <w:p w14:paraId="6E60E189">
            <w:pPr>
              <w:ind w:firstLine="420"/>
              <w:rPr>
                <w:rFonts w:ascii="思源宋体 CN ExtraLight" w:hAnsi="思源宋体 CN ExtraLight" w:cs="思源宋体 CN ExtraLight"/>
              </w:rPr>
            </w:pPr>
            <w:r>
              <w:rPr>
                <w:rFonts w:hint="eastAsia" w:ascii="思源宋体 CN ExtraLight" w:hAnsi="思源宋体 CN ExtraLight" w:cs="思源宋体 CN ExtraLight"/>
              </w:rPr>
              <w:t>　</w:t>
            </w:r>
          </w:p>
        </w:tc>
      </w:tr>
    </w:tbl>
    <w:p w14:paraId="7D1C92DB">
      <w:pPr>
        <w:tabs>
          <w:tab w:val="left" w:pos="6103"/>
        </w:tabs>
        <w:ind w:firstLine="0" w:firstLineChars="0"/>
      </w:pPr>
    </w:p>
    <w:p w14:paraId="4C3ADF48">
      <w:pPr>
        <w:tabs>
          <w:tab w:val="left" w:pos="6103"/>
        </w:tabs>
        <w:ind w:firstLine="0" w:firstLineChars="0"/>
      </w:pPr>
    </w:p>
    <w:p w14:paraId="0994B396">
      <w:pPr>
        <w:tabs>
          <w:tab w:val="left" w:pos="6103"/>
        </w:tabs>
        <w:ind w:firstLine="0" w:firstLineChars="0"/>
      </w:pPr>
    </w:p>
    <w:p w14:paraId="28BA4095">
      <w:pPr>
        <w:tabs>
          <w:tab w:val="left" w:pos="6103"/>
        </w:tabs>
        <w:ind w:firstLine="0" w:firstLineChars="0"/>
      </w:pPr>
    </w:p>
    <w:p w14:paraId="0C4C6BB9">
      <w:pPr>
        <w:tabs>
          <w:tab w:val="left" w:pos="6103"/>
        </w:tabs>
        <w:ind w:firstLine="0" w:firstLineChars="0"/>
      </w:pPr>
    </w:p>
    <w:p w14:paraId="6ACD58A5">
      <w:pPr>
        <w:tabs>
          <w:tab w:val="left" w:pos="6103"/>
        </w:tabs>
        <w:ind w:firstLine="0" w:firstLineChars="0"/>
      </w:pPr>
    </w:p>
    <w:p w14:paraId="0F672C0E">
      <w:pPr>
        <w:pStyle w:val="17"/>
        <w:ind w:firstLine="0" w:firstLineChars="0"/>
      </w:pPr>
    </w:p>
    <w:p w14:paraId="0411CEEF">
      <w:pPr>
        <w:pStyle w:val="17"/>
        <w:ind w:firstLine="480" w:firstLineChars="200"/>
        <w:jc w:val="center"/>
      </w:pPr>
    </w:p>
    <w:p w14:paraId="3D12EB46">
      <w:pPr>
        <w:widowControl/>
        <w:spacing w:line="240" w:lineRule="auto"/>
        <w:ind w:firstLine="0" w:firstLineChars="0"/>
        <w:rPr>
          <w:b/>
          <w:bCs/>
          <w:kern w:val="44"/>
          <w:sz w:val="32"/>
          <w:szCs w:val="28"/>
        </w:rPr>
      </w:pPr>
      <w:bookmarkStart w:id="0" w:name="_Toc476063340"/>
      <w:bookmarkStart w:id="1" w:name="_Toc5918"/>
      <w:r>
        <w:br w:type="page"/>
      </w:r>
    </w:p>
    <w:p w14:paraId="19D8A82F">
      <w:pPr>
        <w:pStyle w:val="2"/>
      </w:pPr>
      <w:bookmarkStart w:id="2" w:name="_Toc17"/>
      <w:r>
        <w:rPr>
          <w:rFonts w:hint="eastAsia"/>
        </w:rPr>
        <w:t>用</w:t>
      </w:r>
      <w:bookmarkEnd w:id="0"/>
      <w:bookmarkEnd w:id="1"/>
      <w:r>
        <w:rPr>
          <w:rFonts w:hint="eastAsia"/>
        </w:rPr>
        <w:t>能权交易平台入口</w:t>
      </w:r>
      <w:bookmarkEnd w:id="2"/>
    </w:p>
    <w:p w14:paraId="47C35DFA">
      <w:pPr>
        <w:ind w:firstLine="420"/>
      </w:pPr>
      <w:bookmarkStart w:id="3" w:name="_Hlk90132698"/>
      <w:r>
        <w:rPr>
          <w:rFonts w:hint="eastAsia"/>
          <w:lang w:eastAsia="zh-CN"/>
        </w:rPr>
        <w:t>陕西省用能权交易平台</w:t>
      </w:r>
      <w:r>
        <w:rPr>
          <w:rFonts w:hint="eastAsia"/>
        </w:rPr>
        <w:t>网址：</w:t>
      </w:r>
      <w:r>
        <w:fldChar w:fldCharType="begin"/>
      </w:r>
      <w:r>
        <w:instrText xml:space="preserve"> HYPERLINK "http://111.20.184.126:8085/" </w:instrText>
      </w:r>
      <w:r>
        <w:fldChar w:fldCharType="separate"/>
      </w:r>
      <w:r>
        <w:rPr>
          <w:rStyle w:val="13"/>
        </w:rPr>
        <w:t>http://111.20.184.126:8085/</w:t>
      </w:r>
      <w:r>
        <w:rPr>
          <w:rStyle w:val="13"/>
        </w:rPr>
        <w:fldChar w:fldCharType="end"/>
      </w:r>
    </w:p>
    <w:p w14:paraId="2981518C">
      <w:pPr>
        <w:ind w:firstLine="420"/>
      </w:pPr>
      <w:r>
        <w:rPr>
          <w:rFonts w:hint="eastAsia"/>
        </w:rPr>
        <w:t>或者打开全国公共资源交易平台（陕西）网站首页（网址：https://www.sxggzyjy.cn/），在首页右侧点击用能权交易平台进入</w:t>
      </w:r>
      <w:r>
        <w:rPr>
          <w:rFonts w:hint="eastAsia"/>
          <w:lang w:eastAsia="zh-CN"/>
        </w:rPr>
        <w:t>陕西省用能权交易平台</w:t>
      </w:r>
      <w:r>
        <w:rPr>
          <w:rFonts w:hint="eastAsia"/>
        </w:rPr>
        <w:t>，如下图：</w:t>
      </w:r>
    </w:p>
    <w:p w14:paraId="511ED3F5">
      <w:pPr>
        <w:ind w:firstLine="0" w:firstLineChars="0"/>
      </w:pPr>
      <w:r>
        <w:drawing>
          <wp:inline distT="0" distB="0" distL="114300" distR="114300">
            <wp:extent cx="5390515" cy="2593975"/>
            <wp:effectExtent l="0" t="0" r="63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390515" cy="2593975"/>
                    </a:xfrm>
                    <a:prstGeom prst="rect">
                      <a:avLst/>
                    </a:prstGeom>
                    <a:noFill/>
                    <a:ln>
                      <a:noFill/>
                    </a:ln>
                  </pic:spPr>
                </pic:pic>
              </a:graphicData>
            </a:graphic>
          </wp:inline>
        </w:drawing>
      </w:r>
    </w:p>
    <w:bookmarkEnd w:id="3"/>
    <w:p w14:paraId="378EEAE2">
      <w:pPr>
        <w:ind w:firstLine="420"/>
      </w:pPr>
    </w:p>
    <w:p w14:paraId="48D17BB3">
      <w:pPr>
        <w:pStyle w:val="3"/>
      </w:pPr>
      <w:bookmarkStart w:id="4" w:name="_Toc8664"/>
      <w:r>
        <w:rPr>
          <w:rFonts w:hint="eastAsia"/>
          <w:lang w:val="en-US" w:eastAsia="zh-CN"/>
        </w:rPr>
        <w:t>现有</w:t>
      </w:r>
      <w:r>
        <w:rPr>
          <w:rFonts w:hint="eastAsia"/>
        </w:rPr>
        <w:t>企业注册入库</w:t>
      </w:r>
      <w:bookmarkEnd w:id="4"/>
    </w:p>
    <w:p w14:paraId="5A6C8542">
      <w:pPr>
        <w:pStyle w:val="4"/>
      </w:pPr>
      <w:bookmarkStart w:id="5" w:name="_Toc7422"/>
      <w:r>
        <w:rPr>
          <w:rFonts w:hint="eastAsia"/>
        </w:rPr>
        <w:t>注册入库</w:t>
      </w:r>
      <w:bookmarkEnd w:id="5"/>
    </w:p>
    <w:p w14:paraId="39AE7EA5">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1、</w:t>
      </w:r>
      <w:bookmarkStart w:id="6" w:name="_Hlk90132761"/>
      <w:r>
        <w:rPr>
          <w:rFonts w:hint="eastAsia"/>
        </w:rPr>
        <w:t>用能权交易平台首页点击“</w:t>
      </w:r>
      <w:r>
        <w:rPr>
          <w:rFonts w:hint="eastAsia"/>
          <w:lang w:val="en-US" w:eastAsia="zh-CN"/>
        </w:rPr>
        <w:t>交易系统登录入口</w:t>
      </w:r>
      <w:r>
        <w:rPr>
          <w:rFonts w:hint="eastAsia"/>
        </w:rPr>
        <w:t>”，进入企业登录注册页面，</w:t>
      </w:r>
      <w:bookmarkEnd w:id="6"/>
      <w:r>
        <w:rPr>
          <w:rFonts w:hint="eastAsia"/>
        </w:rPr>
        <w:t>如下图：</w:t>
      </w:r>
    </w:p>
    <w:p w14:paraId="7A51D69A">
      <w:pPr>
        <w:ind w:firstLine="0" w:firstLineChars="0"/>
      </w:pPr>
      <w:r>
        <w:drawing>
          <wp:inline distT="0" distB="0" distL="114300" distR="114300">
            <wp:extent cx="5318760" cy="2573655"/>
            <wp:effectExtent l="0" t="0" r="15240"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318760" cy="2573655"/>
                    </a:xfrm>
                    <a:prstGeom prst="rect">
                      <a:avLst/>
                    </a:prstGeom>
                    <a:noFill/>
                    <a:ln>
                      <a:noFill/>
                    </a:ln>
                  </pic:spPr>
                </pic:pic>
              </a:graphicData>
            </a:graphic>
          </wp:inline>
        </w:drawing>
      </w:r>
    </w:p>
    <w:p w14:paraId="6B4BACEB">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2、在登录注册页面，选择用户注册-现</w:t>
      </w:r>
      <w:r>
        <w:rPr>
          <w:rFonts w:hint="eastAsia"/>
          <w:lang w:val="en-US" w:eastAsia="zh-CN"/>
        </w:rPr>
        <w:t>有</w:t>
      </w:r>
      <w:r>
        <w:rPr>
          <w:rFonts w:hint="eastAsia"/>
        </w:rPr>
        <w:t>企业，输入企业名称、登录名（统一社会信用代码证）、密码等基本信息后，提交注册，然后使用刚注册的账号进行登录，登录账号为企业统一社会信用代码。</w:t>
      </w:r>
    </w:p>
    <w:p w14:paraId="18D64150">
      <w:pPr>
        <w:ind w:firstLine="0" w:firstLineChars="0"/>
      </w:pPr>
      <w:r>
        <w:drawing>
          <wp:inline distT="0" distB="0" distL="114300" distR="114300">
            <wp:extent cx="5208905" cy="2520315"/>
            <wp:effectExtent l="0" t="0" r="10795" b="133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5208905" cy="2520315"/>
                    </a:xfrm>
                    <a:prstGeom prst="rect">
                      <a:avLst/>
                    </a:prstGeom>
                    <a:noFill/>
                    <a:ln>
                      <a:noFill/>
                    </a:ln>
                  </pic:spPr>
                </pic:pic>
              </a:graphicData>
            </a:graphic>
          </wp:inline>
        </w:drawing>
      </w:r>
    </w:p>
    <w:p w14:paraId="65FDF955">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 xml:space="preserve">初次登录会弹出“隐私声明”，阅读后，从最下方点击“同意”， </w:t>
      </w:r>
    </w:p>
    <w:p w14:paraId="498C6305">
      <w:pPr>
        <w:ind w:firstLine="0" w:firstLineChars="0"/>
      </w:pPr>
      <w:r>
        <w:drawing>
          <wp:inline distT="0" distB="0" distL="0" distR="0">
            <wp:extent cx="5274310" cy="29864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274310" cy="2986405"/>
                    </a:xfrm>
                    <a:prstGeom prst="rect">
                      <a:avLst/>
                    </a:prstGeom>
                  </pic:spPr>
                </pic:pic>
              </a:graphicData>
            </a:graphic>
          </wp:inline>
        </w:drawing>
      </w:r>
    </w:p>
    <w:p w14:paraId="2D3BA14B">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初次注册需要修改登录密码，修改后请务必牢记！</w:t>
      </w:r>
    </w:p>
    <w:p w14:paraId="7B29FB1E">
      <w:pPr>
        <w:ind w:firstLine="0" w:firstLineChars="0"/>
      </w:pPr>
      <w:r>
        <w:drawing>
          <wp:inline distT="0" distB="0" distL="0" distR="0">
            <wp:extent cx="5274310" cy="10236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4310" cy="1023620"/>
                    </a:xfrm>
                    <a:prstGeom prst="rect">
                      <a:avLst/>
                    </a:prstGeom>
                  </pic:spPr>
                </pic:pic>
              </a:graphicData>
            </a:graphic>
          </wp:inline>
        </w:drawing>
      </w:r>
    </w:p>
    <w:p w14:paraId="421F693E">
      <w:pPr>
        <w:pStyle w:val="4"/>
      </w:pPr>
      <w:bookmarkStart w:id="7" w:name="_Toc19909"/>
      <w:r>
        <w:rPr>
          <w:rFonts w:hint="eastAsia"/>
        </w:rPr>
        <w:t>单位信息完善</w:t>
      </w:r>
      <w:bookmarkEnd w:id="7"/>
    </w:p>
    <w:p w14:paraId="37DAAF26">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1、主次登录后，会自动跳转到单位信息完善页面，点击确定-修改信息，完善单位详细信息，并上传单位信息扫描件，扫描件只支持PDF格式的文件。</w:t>
      </w:r>
    </w:p>
    <w:p w14:paraId="7888B210">
      <w:pPr>
        <w:ind w:firstLine="0" w:firstLineChars="0"/>
      </w:pPr>
      <w:r>
        <w:drawing>
          <wp:inline distT="0" distB="0" distL="0" distR="0">
            <wp:extent cx="5274310" cy="29286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4310" cy="2928620"/>
                    </a:xfrm>
                    <a:prstGeom prst="rect">
                      <a:avLst/>
                    </a:prstGeom>
                  </pic:spPr>
                </pic:pic>
              </a:graphicData>
            </a:graphic>
          </wp:inline>
        </w:drawing>
      </w:r>
    </w:p>
    <w:p w14:paraId="3721B034">
      <w:pPr>
        <w:ind w:firstLine="0" w:firstLineChars="0"/>
      </w:pPr>
      <w:r>
        <w:drawing>
          <wp:inline distT="0" distB="0" distL="0" distR="0">
            <wp:extent cx="5274310" cy="20859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4310" cy="2085975"/>
                    </a:xfrm>
                    <a:prstGeom prst="rect">
                      <a:avLst/>
                    </a:prstGeom>
                  </pic:spPr>
                </pic:pic>
              </a:graphicData>
            </a:graphic>
          </wp:inline>
        </w:drawing>
      </w:r>
    </w:p>
    <w:p w14:paraId="07EA1CB8">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将所有信息填写完毕，点击修改保存后再点击下一步</w:t>
      </w:r>
    </w:p>
    <w:p w14:paraId="0B69B5FE">
      <w:pPr>
        <w:ind w:firstLine="0" w:firstLineChars="0"/>
      </w:pPr>
      <w:r>
        <w:drawing>
          <wp:inline distT="0" distB="0" distL="0" distR="0">
            <wp:extent cx="5274310" cy="3348355"/>
            <wp:effectExtent l="0" t="0" r="254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74310" cy="3348355"/>
                    </a:xfrm>
                    <a:prstGeom prst="rect">
                      <a:avLst/>
                    </a:prstGeom>
                  </pic:spPr>
                </pic:pic>
              </a:graphicData>
            </a:graphic>
          </wp:inline>
        </w:drawing>
      </w:r>
    </w:p>
    <w:p w14:paraId="1C4F392E">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最后点击“提交信息”，即可进行业务操作。</w:t>
      </w:r>
    </w:p>
    <w:p w14:paraId="39F6C497">
      <w:pPr>
        <w:ind w:firstLine="0" w:firstLineChars="0"/>
      </w:pPr>
      <w:r>
        <w:drawing>
          <wp:inline distT="0" distB="0" distL="0" distR="0">
            <wp:extent cx="5274310" cy="274955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274310" cy="2749550"/>
                    </a:xfrm>
                    <a:prstGeom prst="rect">
                      <a:avLst/>
                    </a:prstGeom>
                  </pic:spPr>
                </pic:pic>
              </a:graphicData>
            </a:graphic>
          </wp:inline>
        </w:drawing>
      </w:r>
    </w:p>
    <w:p w14:paraId="347F34CD">
      <w:pPr>
        <w:pStyle w:val="3"/>
      </w:pPr>
      <w:bookmarkStart w:id="8" w:name="_Toc18871"/>
      <w:r>
        <w:rPr>
          <w:rFonts w:hint="eastAsia"/>
        </w:rPr>
        <w:t>新建企业注册入库</w:t>
      </w:r>
      <w:bookmarkEnd w:id="8"/>
    </w:p>
    <w:p w14:paraId="0F197903">
      <w:pPr>
        <w:pStyle w:val="4"/>
      </w:pPr>
      <w:bookmarkStart w:id="9" w:name="_Toc3134"/>
      <w:r>
        <w:rPr>
          <w:rFonts w:hint="eastAsia"/>
        </w:rPr>
        <w:t>注册入库</w:t>
      </w:r>
      <w:bookmarkEnd w:id="9"/>
    </w:p>
    <w:p w14:paraId="0A40F981">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1、用能权交易平台首页点击“企业入库”，进入企业登录注册页面，如下图：</w:t>
      </w:r>
    </w:p>
    <w:p w14:paraId="569DA1B0">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在登录注册页面，选择用户注册-新建企业，输入项目名称、项目单位、项目编号、密码等基本信息后，提交注册，其中项目编号为新建企业在项目注册审批系统中的项目编号。提交后，即可使用项目编号登录系统。</w:t>
      </w:r>
    </w:p>
    <w:p w14:paraId="7850C4C9">
      <w:pPr>
        <w:ind w:firstLine="0" w:firstLineChars="0"/>
      </w:pPr>
      <w:r>
        <w:drawing>
          <wp:inline distT="0" distB="0" distL="114300" distR="114300">
            <wp:extent cx="5208905" cy="2520315"/>
            <wp:effectExtent l="0" t="0" r="10795" b="133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3"/>
                    <a:stretch>
                      <a:fillRect/>
                    </a:stretch>
                  </pic:blipFill>
                  <pic:spPr>
                    <a:xfrm>
                      <a:off x="0" y="0"/>
                      <a:ext cx="5208905" cy="2520315"/>
                    </a:xfrm>
                    <a:prstGeom prst="rect">
                      <a:avLst/>
                    </a:prstGeom>
                    <a:noFill/>
                    <a:ln>
                      <a:noFill/>
                    </a:ln>
                  </pic:spPr>
                </pic:pic>
              </a:graphicData>
            </a:graphic>
          </wp:inline>
        </w:drawing>
      </w:r>
    </w:p>
    <w:p w14:paraId="4D9A49C8">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 xml:space="preserve">初次登录会弹出“隐私声明”，阅读后，从最下方点击“同意”， </w:t>
      </w:r>
    </w:p>
    <w:p w14:paraId="330D53C0">
      <w:pPr>
        <w:ind w:firstLine="0" w:firstLineChars="0"/>
      </w:pPr>
      <w:r>
        <w:drawing>
          <wp:inline distT="0" distB="0" distL="0" distR="0">
            <wp:extent cx="5274310" cy="2986405"/>
            <wp:effectExtent l="0" t="0" r="254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a:stretch>
                      <a:fillRect/>
                    </a:stretch>
                  </pic:blipFill>
                  <pic:spPr>
                    <a:xfrm>
                      <a:off x="0" y="0"/>
                      <a:ext cx="5274310" cy="2986405"/>
                    </a:xfrm>
                    <a:prstGeom prst="rect">
                      <a:avLst/>
                    </a:prstGeom>
                  </pic:spPr>
                </pic:pic>
              </a:graphicData>
            </a:graphic>
          </wp:inline>
        </w:drawing>
      </w:r>
    </w:p>
    <w:p w14:paraId="2152BB47">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初次注册需要修改登录密码，修改后请务必牢记！</w:t>
      </w:r>
    </w:p>
    <w:p w14:paraId="7DE7540D">
      <w:pPr>
        <w:ind w:firstLine="0" w:firstLineChars="0"/>
      </w:pPr>
      <w:r>
        <w:drawing>
          <wp:inline distT="0" distB="0" distL="0" distR="0">
            <wp:extent cx="5274310" cy="1023620"/>
            <wp:effectExtent l="0" t="0" r="2540" b="50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274310" cy="1023620"/>
                    </a:xfrm>
                    <a:prstGeom prst="rect">
                      <a:avLst/>
                    </a:prstGeom>
                  </pic:spPr>
                </pic:pic>
              </a:graphicData>
            </a:graphic>
          </wp:inline>
        </w:drawing>
      </w:r>
    </w:p>
    <w:p w14:paraId="2E907EF2">
      <w:pPr>
        <w:pStyle w:val="4"/>
      </w:pPr>
      <w:bookmarkStart w:id="10" w:name="_Toc15876"/>
      <w:r>
        <w:rPr>
          <w:rFonts w:hint="eastAsia"/>
        </w:rPr>
        <w:t>单位信息完善</w:t>
      </w:r>
      <w:bookmarkEnd w:id="10"/>
    </w:p>
    <w:p w14:paraId="7862C614">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1、初次登录后，会自动跳转到单位信息完善页面，点击确定-修改信息，完善单位详细信息，并上传单位信息扫描件，扫描件只支持PDF格式的文件。</w:t>
      </w:r>
    </w:p>
    <w:p w14:paraId="7AB20FDA">
      <w:pPr>
        <w:ind w:firstLine="0" w:firstLineChars="0"/>
      </w:pPr>
      <w:r>
        <w:drawing>
          <wp:inline distT="0" distB="0" distL="0" distR="0">
            <wp:extent cx="5274310" cy="339471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4"/>
                    <a:stretch>
                      <a:fillRect/>
                    </a:stretch>
                  </pic:blipFill>
                  <pic:spPr>
                    <a:xfrm>
                      <a:off x="0" y="0"/>
                      <a:ext cx="5274310" cy="3394710"/>
                    </a:xfrm>
                    <a:prstGeom prst="rect">
                      <a:avLst/>
                    </a:prstGeom>
                  </pic:spPr>
                </pic:pic>
              </a:graphicData>
            </a:graphic>
          </wp:inline>
        </w:drawing>
      </w:r>
    </w:p>
    <w:p w14:paraId="1C1725D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将所有信息填写完毕，点击“修改保存”后再点击“下一步”</w:t>
      </w:r>
    </w:p>
    <w:p w14:paraId="3F12A24F">
      <w:pPr>
        <w:ind w:firstLine="0" w:firstLineChars="0"/>
      </w:pPr>
      <w:r>
        <w:drawing>
          <wp:inline distT="0" distB="0" distL="0" distR="0">
            <wp:extent cx="5274310" cy="3348355"/>
            <wp:effectExtent l="0" t="0" r="2540" b="444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1"/>
                    <a:stretch>
                      <a:fillRect/>
                    </a:stretch>
                  </pic:blipFill>
                  <pic:spPr>
                    <a:xfrm>
                      <a:off x="0" y="0"/>
                      <a:ext cx="5274310" cy="3348355"/>
                    </a:xfrm>
                    <a:prstGeom prst="rect">
                      <a:avLst/>
                    </a:prstGeom>
                  </pic:spPr>
                </pic:pic>
              </a:graphicData>
            </a:graphic>
          </wp:inline>
        </w:drawing>
      </w:r>
    </w:p>
    <w:p w14:paraId="48E9934E">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最后点击“提交信息”，即可进行业务操作。</w:t>
      </w:r>
    </w:p>
    <w:p w14:paraId="43C4F2AC">
      <w:pPr>
        <w:ind w:firstLine="0" w:firstLineChars="0"/>
      </w:pPr>
      <w:r>
        <w:drawing>
          <wp:inline distT="0" distB="0" distL="0" distR="0">
            <wp:extent cx="5274310" cy="274955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2"/>
                    <a:stretch>
                      <a:fillRect/>
                    </a:stretch>
                  </pic:blipFill>
                  <pic:spPr>
                    <a:xfrm>
                      <a:off x="0" y="0"/>
                      <a:ext cx="5274310" cy="2749550"/>
                    </a:xfrm>
                    <a:prstGeom prst="rect">
                      <a:avLst/>
                    </a:prstGeom>
                  </pic:spPr>
                </pic:pic>
              </a:graphicData>
            </a:graphic>
          </wp:inline>
        </w:drawing>
      </w:r>
    </w:p>
    <w:p w14:paraId="5F442814">
      <w:pPr>
        <w:ind w:firstLine="0" w:firstLineChars="0"/>
      </w:pPr>
    </w:p>
    <w:p w14:paraId="09C0305B">
      <w:pPr>
        <w:ind w:firstLine="0" w:firstLineChars="0"/>
      </w:pPr>
    </w:p>
    <w:p w14:paraId="3792FB8D">
      <w:pPr>
        <w:widowControl/>
        <w:spacing w:line="240" w:lineRule="auto"/>
        <w:ind w:firstLine="0" w:firstLineChars="0"/>
        <w:rPr>
          <w:b/>
          <w:bCs/>
          <w:kern w:val="44"/>
          <w:sz w:val="32"/>
          <w:szCs w:val="28"/>
        </w:rPr>
      </w:pPr>
      <w:r>
        <w:br w:type="page"/>
      </w:r>
    </w:p>
    <w:p w14:paraId="1558119C">
      <w:pPr>
        <w:pStyle w:val="2"/>
      </w:pPr>
      <w:bookmarkStart w:id="11" w:name="_Toc10065"/>
      <w:r>
        <w:rPr>
          <w:rFonts w:hint="eastAsia"/>
        </w:rPr>
        <w:t>用能权交易业务操作</w:t>
      </w:r>
      <w:bookmarkEnd w:id="11"/>
    </w:p>
    <w:p w14:paraId="6EA84D95">
      <w:pPr>
        <w:pStyle w:val="3"/>
      </w:pPr>
      <w:bookmarkStart w:id="12" w:name="_Toc28542"/>
      <w:r>
        <w:rPr>
          <w:rFonts w:hint="eastAsia"/>
        </w:rPr>
        <w:t>查看交易公告</w:t>
      </w:r>
      <w:bookmarkEnd w:id="12"/>
    </w:p>
    <w:p w14:paraId="49B54B02">
      <w:pPr>
        <w:ind w:firstLine="420"/>
      </w:pPr>
      <w:r>
        <w:rPr>
          <w:rFonts w:hint="eastAsia"/>
        </w:rPr>
        <w:t>1、登录系统后，点击上方“交易公告”打开公告列表页面，</w:t>
      </w:r>
      <w:r>
        <w:rPr>
          <w:rFonts w:hint="eastAsia"/>
          <w:lang w:val="en-US" w:eastAsia="zh-CN"/>
        </w:rPr>
        <w:t>将鼠标</w:t>
      </w:r>
      <w:r>
        <w:rPr>
          <w:rFonts w:hint="eastAsia"/>
        </w:rPr>
        <w:t>移动到公告列表卡片上，可以查看交易公告详情，或者直接提交</w:t>
      </w:r>
      <w:r>
        <w:rPr>
          <w:rFonts w:hint="eastAsia"/>
          <w:lang w:eastAsia="zh-CN"/>
        </w:rPr>
        <w:t>我要报名</w:t>
      </w:r>
      <w:r>
        <w:rPr>
          <w:rFonts w:hint="eastAsia"/>
        </w:rPr>
        <w:t>：</w:t>
      </w:r>
    </w:p>
    <w:p w14:paraId="4B0B6B8F">
      <w:r>
        <w:drawing>
          <wp:inline distT="0" distB="0" distL="114300" distR="114300">
            <wp:extent cx="5300980" cy="2565400"/>
            <wp:effectExtent l="0" t="0" r="1397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300980" cy="2565400"/>
                    </a:xfrm>
                    <a:prstGeom prst="rect">
                      <a:avLst/>
                    </a:prstGeom>
                    <a:noFill/>
                    <a:ln>
                      <a:noFill/>
                    </a:ln>
                  </pic:spPr>
                </pic:pic>
              </a:graphicData>
            </a:graphic>
          </wp:inline>
        </w:drawing>
      </w:r>
    </w:p>
    <w:p w14:paraId="102A3301">
      <w:pPr>
        <w:numPr>
          <w:ilvl w:val="0"/>
          <w:numId w:val="2"/>
        </w:numPr>
        <w:ind w:firstLine="420"/>
        <w:rPr>
          <w:rFonts w:hint="eastAsia"/>
        </w:rPr>
      </w:pPr>
      <w:r>
        <w:rPr>
          <w:rFonts w:hint="eastAsia"/>
        </w:rPr>
        <w:t>点击“</w:t>
      </w:r>
      <w:r>
        <w:rPr>
          <w:rFonts w:hint="eastAsia"/>
          <w:lang w:eastAsia="zh-CN"/>
        </w:rPr>
        <w:t>我要报名</w:t>
      </w:r>
      <w:r>
        <w:rPr>
          <w:rFonts w:hint="eastAsia"/>
        </w:rPr>
        <w:t>”，打开新增</w:t>
      </w:r>
      <w:r>
        <w:rPr>
          <w:rFonts w:hint="eastAsia"/>
          <w:lang w:eastAsia="zh-CN"/>
        </w:rPr>
        <w:t>我要报名</w:t>
      </w:r>
      <w:r>
        <w:rPr>
          <w:rFonts w:hint="eastAsia"/>
        </w:rPr>
        <w:t>页面，</w:t>
      </w:r>
      <w:r>
        <w:rPr>
          <w:rFonts w:hint="eastAsia"/>
          <w:lang w:val="en-US" w:eastAsia="zh-CN"/>
        </w:rPr>
        <w:t>填写</w:t>
      </w:r>
      <w:r>
        <w:rPr>
          <w:rFonts w:hint="eastAsia"/>
        </w:rPr>
        <w:t>“</w:t>
      </w:r>
      <w:r>
        <w:rPr>
          <w:rFonts w:ascii="Arial" w:hAnsi="Arial" w:cs="Arial"/>
          <w:color w:val="5C5C5C"/>
          <w:szCs w:val="21"/>
          <w:shd w:val="clear" w:color="auto" w:fill="FFFFFF"/>
        </w:rPr>
        <w:t>预</w:t>
      </w:r>
      <w:r>
        <w:rPr>
          <w:rFonts w:hint="eastAsia" w:ascii="Arial" w:hAnsi="Arial" w:cs="Arial"/>
          <w:color w:val="5C5C5C"/>
          <w:szCs w:val="21"/>
          <w:shd w:val="clear" w:color="auto" w:fill="FFFFFF"/>
          <w:lang w:val="en-US" w:eastAsia="zh-CN"/>
        </w:rPr>
        <w:t>申购</w:t>
      </w:r>
      <w:r>
        <w:rPr>
          <w:rFonts w:ascii="Arial" w:hAnsi="Arial" w:cs="Arial"/>
          <w:color w:val="5C5C5C"/>
          <w:szCs w:val="21"/>
          <w:shd w:val="clear" w:color="auto" w:fill="FFFFFF"/>
        </w:rPr>
        <w:t>的新增用能指标</w:t>
      </w:r>
      <w:r>
        <w:rPr>
          <w:rFonts w:hint="eastAsia"/>
        </w:rPr>
        <w:t>”，并上传用能指标</w:t>
      </w:r>
      <w:r>
        <w:rPr>
          <w:rFonts w:hint="eastAsia"/>
          <w:lang w:val="en-US" w:eastAsia="zh-CN"/>
        </w:rPr>
        <w:t>申购申请</w:t>
      </w:r>
      <w:r>
        <w:rPr>
          <w:rFonts w:hint="eastAsia"/>
        </w:rPr>
        <w:t>表。</w:t>
      </w:r>
    </w:p>
    <w:p w14:paraId="2E67AF18">
      <w:pPr>
        <w:numPr>
          <w:ilvl w:val="0"/>
          <w:numId w:val="0"/>
        </w:numPr>
        <w:rPr>
          <w:rFonts w:hint="default" w:eastAsia="思源宋体 CN ExtraLight"/>
          <w:lang w:val="en-US" w:eastAsia="zh-CN"/>
        </w:rPr>
      </w:pPr>
      <w:r>
        <w:rPr>
          <w:rFonts w:hint="eastAsia"/>
          <w:lang w:val="en-US" w:eastAsia="zh-CN"/>
        </w:rPr>
        <w:t xml:space="preserve">  </w:t>
      </w:r>
      <w:r>
        <w:rPr>
          <w:rFonts w:hint="eastAsia"/>
          <w:color w:val="FF0000"/>
          <w:lang w:val="en-US" w:eastAsia="zh-CN"/>
        </w:rPr>
        <w:t xml:space="preserve">  注意：</w:t>
      </w:r>
      <w:r>
        <w:rPr>
          <w:rFonts w:ascii="Arial" w:hAnsi="Arial" w:cs="Arial"/>
          <w:color w:val="FF0000"/>
          <w:szCs w:val="21"/>
          <w:shd w:val="clear" w:color="auto" w:fill="FFFFFF"/>
        </w:rPr>
        <w:t>预</w:t>
      </w:r>
      <w:r>
        <w:rPr>
          <w:rFonts w:hint="eastAsia" w:ascii="Arial" w:hAnsi="Arial" w:cs="Arial"/>
          <w:color w:val="FF0000"/>
          <w:szCs w:val="21"/>
          <w:shd w:val="clear" w:color="auto" w:fill="FFFFFF"/>
          <w:lang w:val="en-US" w:eastAsia="zh-CN"/>
        </w:rPr>
        <w:t>申购</w:t>
      </w:r>
      <w:r>
        <w:rPr>
          <w:rFonts w:ascii="Arial" w:hAnsi="Arial" w:cs="Arial"/>
          <w:color w:val="FF0000"/>
          <w:szCs w:val="21"/>
          <w:shd w:val="clear" w:color="auto" w:fill="FFFFFF"/>
        </w:rPr>
        <w:t>的新增用能指标</w:t>
      </w:r>
      <w:r>
        <w:rPr>
          <w:rFonts w:hint="eastAsia" w:ascii="Arial" w:hAnsi="Arial" w:cs="Arial"/>
          <w:color w:val="FF0000"/>
          <w:szCs w:val="21"/>
          <w:shd w:val="clear" w:color="auto" w:fill="FFFFFF"/>
          <w:lang w:val="en-US" w:eastAsia="zh-CN"/>
        </w:rPr>
        <w:t>不能大于本次的交易数量。</w:t>
      </w:r>
    </w:p>
    <w:p w14:paraId="059426DD">
      <w:pPr>
        <w:ind w:firstLine="199" w:firstLineChars="95"/>
        <w:rPr>
          <w:rFonts w:hint="eastAsia"/>
        </w:rPr>
      </w:pPr>
      <w:r>
        <w:drawing>
          <wp:inline distT="0" distB="0" distL="0" distR="0">
            <wp:extent cx="5274310" cy="309054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6"/>
                    <a:stretch>
                      <a:fillRect/>
                    </a:stretch>
                  </pic:blipFill>
                  <pic:spPr>
                    <a:xfrm>
                      <a:off x="0" y="0"/>
                      <a:ext cx="5274310" cy="3090545"/>
                    </a:xfrm>
                    <a:prstGeom prst="rect">
                      <a:avLst/>
                    </a:prstGeom>
                  </pic:spPr>
                </pic:pic>
              </a:graphicData>
            </a:graphic>
          </wp:inline>
        </w:drawing>
      </w:r>
    </w:p>
    <w:p w14:paraId="3807A3DA">
      <w:pPr>
        <w:ind w:firstLine="420"/>
      </w:pPr>
      <w:r>
        <w:rPr>
          <w:rFonts w:hint="eastAsia"/>
        </w:rPr>
        <w:t>3、提交</w:t>
      </w:r>
      <w:r>
        <w:rPr>
          <w:rFonts w:hint="eastAsia"/>
          <w:lang w:eastAsia="zh-CN"/>
        </w:rPr>
        <w:t>我要报名</w:t>
      </w:r>
      <w:r>
        <w:rPr>
          <w:rFonts w:hint="eastAsia"/>
        </w:rPr>
        <w:t>后，可在首页左侧点击“用能权交易-</w:t>
      </w:r>
      <w:r>
        <w:rPr>
          <w:rFonts w:hint="eastAsia"/>
          <w:lang w:val="en-US" w:eastAsia="zh-CN"/>
        </w:rPr>
        <w:t>申购管理</w:t>
      </w:r>
      <w:r>
        <w:rPr>
          <w:rFonts w:hint="eastAsia"/>
        </w:rPr>
        <w:t>”找到提交的</w:t>
      </w:r>
      <w:r>
        <w:rPr>
          <w:rFonts w:hint="eastAsia"/>
          <w:lang w:eastAsia="zh-CN"/>
        </w:rPr>
        <w:t>我要报名</w:t>
      </w:r>
      <w:r>
        <w:rPr>
          <w:rFonts w:hint="eastAsia"/>
        </w:rPr>
        <w:t>，点击最右侧“操作”，从最下方查看审核进度</w:t>
      </w:r>
    </w:p>
    <w:p w14:paraId="75FF30F7">
      <w:pPr>
        <w:ind w:firstLine="199" w:firstLineChars="95"/>
        <w:rPr>
          <w:rFonts w:hint="eastAsia"/>
        </w:rPr>
      </w:pPr>
      <w:r>
        <w:drawing>
          <wp:inline distT="0" distB="0" distL="0" distR="0">
            <wp:extent cx="5274310" cy="297688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7"/>
                    <a:stretch>
                      <a:fillRect/>
                    </a:stretch>
                  </pic:blipFill>
                  <pic:spPr>
                    <a:xfrm>
                      <a:off x="0" y="0"/>
                      <a:ext cx="5274310" cy="2976880"/>
                    </a:xfrm>
                    <a:prstGeom prst="rect">
                      <a:avLst/>
                    </a:prstGeom>
                  </pic:spPr>
                </pic:pic>
              </a:graphicData>
            </a:graphic>
          </wp:inline>
        </w:drawing>
      </w:r>
    </w:p>
    <w:p w14:paraId="53C14209">
      <w:pPr>
        <w:pStyle w:val="3"/>
      </w:pPr>
      <w:bookmarkStart w:id="13" w:name="_Toc19184"/>
      <w:r>
        <w:rPr>
          <w:rFonts w:hint="eastAsia"/>
        </w:rPr>
        <w:t>缴纳保证金</w:t>
      </w:r>
      <w:bookmarkEnd w:id="13"/>
    </w:p>
    <w:p w14:paraId="51C7FAFA">
      <w:pPr>
        <w:ind w:firstLine="420"/>
        <w:rPr>
          <w:rFonts w:hint="eastAsia"/>
        </w:rPr>
      </w:pPr>
      <w:r>
        <w:rPr>
          <w:rFonts w:hint="eastAsia"/>
        </w:rPr>
        <w:t xml:space="preserve">1、点击左侧“用能权交易-缴纳保证金”打开公告列表页面，如下图： </w:t>
      </w:r>
    </w:p>
    <w:p w14:paraId="17C111BC">
      <w:pPr>
        <w:ind w:firstLine="0" w:firstLineChars="0"/>
      </w:pPr>
      <w:r>
        <w:drawing>
          <wp:inline distT="0" distB="0" distL="114300" distR="114300">
            <wp:extent cx="5260975" cy="2545715"/>
            <wp:effectExtent l="0" t="0" r="1587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260975" cy="2545715"/>
                    </a:xfrm>
                    <a:prstGeom prst="rect">
                      <a:avLst/>
                    </a:prstGeom>
                    <a:noFill/>
                    <a:ln>
                      <a:noFill/>
                    </a:ln>
                  </pic:spPr>
                </pic:pic>
              </a:graphicData>
            </a:graphic>
          </wp:inline>
        </w:drawing>
      </w:r>
    </w:p>
    <w:p w14:paraId="0797A9BB">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2</w:t>
      </w:r>
      <w:r>
        <w:rPr>
          <w:rFonts w:hint="eastAsia"/>
        </w:rPr>
        <w:t>、点击“</w:t>
      </w:r>
      <w:r>
        <w:rPr>
          <w:rFonts w:hint="eastAsia"/>
          <w:lang w:val="en-US" w:eastAsia="zh-CN"/>
        </w:rPr>
        <w:t>操作</w:t>
      </w:r>
      <w:r>
        <w:rPr>
          <w:rFonts w:hint="eastAsia"/>
        </w:rPr>
        <w:t>”，</w:t>
      </w:r>
      <w:r>
        <w:rPr>
          <w:rFonts w:hint="eastAsia"/>
          <w:lang w:val="en-US" w:eastAsia="zh-CN"/>
        </w:rPr>
        <w:t>生成保证金子账号</w:t>
      </w:r>
    </w:p>
    <w:p w14:paraId="36E0181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3、</w:t>
      </w:r>
      <w:r>
        <w:rPr>
          <w:rFonts w:hint="eastAsia"/>
          <w:lang w:val="en-US" w:eastAsia="zh-CN"/>
        </w:rPr>
        <w:t>保证金缴纳完成后，输入保证金缴纳账号</w:t>
      </w:r>
      <w:r>
        <w:rPr>
          <w:rFonts w:hint="eastAsia"/>
        </w:rPr>
        <w:t>，</w:t>
      </w:r>
      <w:r>
        <w:rPr>
          <w:rFonts w:hint="eastAsia"/>
          <w:lang w:val="en-US" w:eastAsia="zh-CN"/>
        </w:rPr>
        <w:t>点击“缴纳查询”查询保证金到账情况，</w:t>
      </w:r>
      <w:r>
        <w:rPr>
          <w:rFonts w:hint="eastAsia"/>
        </w:rPr>
        <w:t>如下图</w:t>
      </w:r>
    </w:p>
    <w:p w14:paraId="665FB280">
      <w:pPr>
        <w:ind w:firstLine="0" w:firstLineChars="0"/>
        <w:rPr>
          <w:rFonts w:hint="eastAsia"/>
        </w:rPr>
      </w:pPr>
      <w:r>
        <w:drawing>
          <wp:inline distT="0" distB="0" distL="114300" distR="114300">
            <wp:extent cx="5208905" cy="2520315"/>
            <wp:effectExtent l="0" t="0" r="10795"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9"/>
                    <a:stretch>
                      <a:fillRect/>
                    </a:stretch>
                  </pic:blipFill>
                  <pic:spPr>
                    <a:xfrm>
                      <a:off x="0" y="0"/>
                      <a:ext cx="5208905" cy="2520315"/>
                    </a:xfrm>
                    <a:prstGeom prst="rect">
                      <a:avLst/>
                    </a:prstGeom>
                    <a:noFill/>
                    <a:ln>
                      <a:noFill/>
                    </a:ln>
                  </pic:spPr>
                </pic:pic>
              </a:graphicData>
            </a:graphic>
          </wp:inline>
        </w:drawing>
      </w:r>
    </w:p>
    <w:p w14:paraId="645222C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bCs/>
          <w:color w:val="FF0000"/>
          <w:lang w:val="en-US" w:eastAsia="zh-CN"/>
        </w:rPr>
      </w:pPr>
      <w:bookmarkStart w:id="14" w:name="_Toc7199"/>
      <w:r>
        <w:rPr>
          <w:rFonts w:hint="eastAsia"/>
          <w:b/>
          <w:bCs/>
          <w:color w:val="FF0000"/>
          <w:lang w:val="en-US" w:eastAsia="zh-CN"/>
        </w:rPr>
        <w:t>保证金缴纳注意事项：</w:t>
      </w:r>
      <w:bookmarkEnd w:id="14"/>
    </w:p>
    <w:p w14:paraId="639C5BD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FF0000"/>
          <w:lang w:val="en-US" w:eastAsia="zh-CN"/>
        </w:rPr>
      </w:pPr>
      <w:r>
        <w:rPr>
          <w:rFonts w:hint="eastAsia"/>
          <w:color w:val="FF0000"/>
          <w:lang w:val="en-US" w:eastAsia="zh-CN"/>
        </w:rPr>
        <w:t>1）建议竞买人每天9:00-17:00缴纳保证金；</w:t>
      </w:r>
    </w:p>
    <w:p w14:paraId="1948C18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FF0000"/>
          <w:lang w:val="en-US" w:eastAsia="zh-CN"/>
        </w:rPr>
      </w:pPr>
      <w:r>
        <w:rPr>
          <w:rFonts w:hint="eastAsia"/>
          <w:color w:val="FF0000"/>
          <w:lang w:val="en-US" w:eastAsia="zh-CN"/>
        </w:rPr>
        <w:t>2）通过基本户足额缴纳保证金后，因入账需一定时间，建议每60分钟在系统中查询一次；</w:t>
      </w:r>
    </w:p>
    <w:p w14:paraId="71FD2D4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FF0000"/>
          <w:lang w:val="en-US" w:eastAsia="zh-CN"/>
        </w:rPr>
      </w:pPr>
      <w:r>
        <w:rPr>
          <w:rFonts w:hint="eastAsia"/>
          <w:color w:val="FF0000"/>
          <w:lang w:val="en-US" w:eastAsia="zh-CN"/>
        </w:rPr>
        <w:t>3）注意要提前预留充足时间缴纳保证金，发现问题可及时向交易中心反映，若临近开标时间再打款可能造成保证金无法到账从而打印不了保证金到账单；</w:t>
      </w:r>
    </w:p>
    <w:p w14:paraId="18FB715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FF0000"/>
          <w:lang w:val="en-US" w:eastAsia="zh-CN"/>
        </w:rPr>
      </w:pPr>
      <w:r>
        <w:rPr>
          <w:rFonts w:hint="eastAsia"/>
          <w:color w:val="FF0000"/>
          <w:lang w:val="en-US" w:eastAsia="zh-CN"/>
        </w:rPr>
        <w:t>4）保证金帐号信息根据不同竞买单位随机生成，以系统显示的保证金信息为准；</w:t>
      </w:r>
    </w:p>
    <w:p w14:paraId="0EC1CFD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FF0000"/>
          <w:lang w:val="en-US" w:eastAsia="zh-CN"/>
        </w:rPr>
      </w:pPr>
      <w:r>
        <w:rPr>
          <w:rFonts w:hint="eastAsia"/>
          <w:color w:val="FF0000"/>
          <w:lang w:val="en-US" w:eastAsia="zh-CN"/>
        </w:rPr>
        <w:t>5）请勿使用结算卡缴纳保证金！</w:t>
      </w:r>
    </w:p>
    <w:p w14:paraId="2D54F5A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FF0000"/>
          <w:lang w:val="en-US" w:eastAsia="zh-CN"/>
        </w:rPr>
      </w:pPr>
      <w:r>
        <w:rPr>
          <w:rFonts w:hint="eastAsia"/>
          <w:color w:val="FF0000"/>
          <w:lang w:val="en-US" w:eastAsia="zh-CN"/>
        </w:rPr>
        <w:t>6）保证金到账后才能进行竞买操作。</w:t>
      </w:r>
    </w:p>
    <w:p w14:paraId="2B10F76F">
      <w:pPr>
        <w:pStyle w:val="3"/>
      </w:pPr>
      <w:bookmarkStart w:id="15" w:name="_Toc16307"/>
      <w:r>
        <w:rPr>
          <w:rFonts w:hint="eastAsia"/>
        </w:rPr>
        <w:t>网上竞价</w:t>
      </w:r>
      <w:bookmarkEnd w:id="15"/>
    </w:p>
    <w:p w14:paraId="29584E2A">
      <w:pPr>
        <w:ind w:firstLine="0" w:firstLineChars="0"/>
        <w:rPr>
          <w:rFonts w:hint="eastAsia"/>
        </w:rPr>
      </w:pPr>
      <w:r>
        <w:rPr>
          <w:rFonts w:hint="eastAsia"/>
          <w:highlight w:val="yellow"/>
        </w:rPr>
        <w:t>（定价交易项目无需执行该步骤，缴纳保证金后，等待交易中心</w:t>
      </w:r>
      <w:r>
        <w:rPr>
          <w:rFonts w:hint="eastAsia"/>
          <w:highlight w:val="yellow"/>
          <w:lang w:val="en-US" w:eastAsia="zh-CN"/>
        </w:rPr>
        <w:t>发布成交公示</w:t>
      </w:r>
      <w:r>
        <w:rPr>
          <w:rFonts w:hint="eastAsia"/>
          <w:highlight w:val="yellow"/>
        </w:rPr>
        <w:t>即可）</w:t>
      </w:r>
    </w:p>
    <w:p w14:paraId="717590F1">
      <w:pPr>
        <w:ind w:firstLine="420"/>
        <w:rPr>
          <w:rFonts w:hint="eastAsia" w:ascii="宋体" w:hAnsi="宋体" w:eastAsia="思源宋体 CN ExtraLight"/>
          <w:lang w:val="en-US" w:eastAsia="zh-CN"/>
        </w:rPr>
      </w:pPr>
      <w:r>
        <w:rPr>
          <w:rFonts w:ascii="宋体" w:hAnsi="宋体"/>
          <w:b/>
        </w:rPr>
        <w:t>前提条件：</w:t>
      </w:r>
      <w:r>
        <w:rPr>
          <w:rFonts w:hint="eastAsia" w:ascii="宋体" w:hAnsi="宋体"/>
          <w:b/>
          <w:lang w:eastAsia="zh-CN"/>
        </w:rPr>
        <w:t>我要报名</w:t>
      </w:r>
      <w:r>
        <w:rPr>
          <w:rFonts w:hint="eastAsia" w:ascii="宋体" w:hAnsi="宋体"/>
          <w:b/>
          <w:lang w:val="en-US" w:eastAsia="zh-CN"/>
        </w:rPr>
        <w:t>审核沟通过，</w:t>
      </w:r>
      <w:r>
        <w:rPr>
          <w:rFonts w:hint="eastAsia" w:ascii="宋体" w:hAnsi="宋体"/>
          <w:b/>
        </w:rPr>
        <w:t>保证金缴纳情况</w:t>
      </w:r>
      <w:r>
        <w:rPr>
          <w:rFonts w:hint="eastAsia" w:ascii="宋体" w:hAnsi="宋体"/>
          <w:b/>
          <w:lang w:val="en-US" w:eastAsia="zh-CN"/>
        </w:rPr>
        <w:t>已查询</w:t>
      </w:r>
    </w:p>
    <w:p w14:paraId="303FEB6D">
      <w:pPr>
        <w:ind w:firstLine="420"/>
        <w:rPr>
          <w:rFonts w:hint="eastAsia" w:ascii="宋体" w:hAnsi="宋体"/>
          <w:b/>
        </w:rPr>
      </w:pPr>
      <w:r>
        <w:rPr>
          <w:rFonts w:ascii="宋体" w:hAnsi="宋体"/>
          <w:b/>
        </w:rPr>
        <w:t>操作步骤：</w:t>
      </w:r>
    </w:p>
    <w:p w14:paraId="3838656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1、在企业端首页点击上方“我的项目”打开已提交</w:t>
      </w:r>
      <w:r>
        <w:rPr>
          <w:rFonts w:hint="eastAsia"/>
          <w:lang w:eastAsia="zh-CN"/>
        </w:rPr>
        <w:t>我要报名</w:t>
      </w:r>
      <w:r>
        <w:rPr>
          <w:rFonts w:hint="eastAsia"/>
        </w:rPr>
        <w:t>的项目列表页面，如下图：</w:t>
      </w:r>
    </w:p>
    <w:p w14:paraId="7EC00EBA">
      <w:pPr>
        <w:ind w:firstLine="0" w:firstLineChars="0"/>
      </w:pPr>
      <w:r>
        <w:drawing>
          <wp:inline distT="0" distB="0" distL="0" distR="0">
            <wp:extent cx="5274310" cy="2299970"/>
            <wp:effectExtent l="0" t="0" r="254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0"/>
                    <a:stretch>
                      <a:fillRect/>
                    </a:stretch>
                  </pic:blipFill>
                  <pic:spPr>
                    <a:xfrm>
                      <a:off x="0" y="0"/>
                      <a:ext cx="5274310" cy="2299970"/>
                    </a:xfrm>
                    <a:prstGeom prst="rect">
                      <a:avLst/>
                    </a:prstGeom>
                  </pic:spPr>
                </pic:pic>
              </a:graphicData>
            </a:graphic>
          </wp:inline>
        </w:drawing>
      </w:r>
    </w:p>
    <w:p w14:paraId="49D16F0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2、找到已</w:t>
      </w:r>
      <w:r>
        <w:rPr>
          <w:rFonts w:hint="eastAsia"/>
          <w:lang w:eastAsia="zh-CN"/>
        </w:rPr>
        <w:t>报名</w:t>
      </w:r>
      <w:r>
        <w:rPr>
          <w:rFonts w:hint="eastAsia"/>
        </w:rPr>
        <w:t>的项目，点击进入竞价，默认弹出隐私声明页</w:t>
      </w:r>
    </w:p>
    <w:p w14:paraId="628FEEB7">
      <w:pPr>
        <w:ind w:firstLine="0" w:firstLineChars="0"/>
      </w:pPr>
      <w:r>
        <w:drawing>
          <wp:inline distT="0" distB="0" distL="0" distR="0">
            <wp:extent cx="5274310" cy="296100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1"/>
                    <a:stretch>
                      <a:fillRect/>
                    </a:stretch>
                  </pic:blipFill>
                  <pic:spPr>
                    <a:xfrm>
                      <a:off x="0" y="0"/>
                      <a:ext cx="5274310" cy="2961005"/>
                    </a:xfrm>
                    <a:prstGeom prst="rect">
                      <a:avLst/>
                    </a:prstGeom>
                  </pic:spPr>
                </pic:pic>
              </a:graphicData>
            </a:graphic>
          </wp:inline>
        </w:drawing>
      </w:r>
    </w:p>
    <w:p w14:paraId="78C631BE">
      <w:pPr>
        <w:numPr>
          <w:ilvl w:val="0"/>
          <w:numId w:val="2"/>
        </w:numPr>
        <w:ind w:left="0" w:leftChars="0" w:firstLine="420" w:firstLineChars="200"/>
        <w:rPr>
          <w:rFonts w:hint="eastAsia"/>
        </w:rPr>
      </w:pPr>
      <w:r>
        <w:rPr>
          <w:rFonts w:hint="eastAsia"/>
        </w:rPr>
        <w:t>阅读完毕或者等待5秒点击“同意”，进入竞价大厅</w:t>
      </w:r>
    </w:p>
    <w:p w14:paraId="52EA4027">
      <w:pPr>
        <w:numPr>
          <w:ilvl w:val="0"/>
          <w:numId w:val="0"/>
        </w:numPr>
        <w:rPr>
          <w:rFonts w:hint="eastAsia"/>
        </w:rPr>
      </w:pPr>
      <w:r>
        <w:drawing>
          <wp:inline distT="0" distB="0" distL="114300" distR="114300">
            <wp:extent cx="5325110" cy="2576195"/>
            <wp:effectExtent l="0" t="0" r="8890" b="146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2"/>
                    <a:stretch>
                      <a:fillRect/>
                    </a:stretch>
                  </pic:blipFill>
                  <pic:spPr>
                    <a:xfrm>
                      <a:off x="0" y="0"/>
                      <a:ext cx="5325110" cy="2576195"/>
                    </a:xfrm>
                    <a:prstGeom prst="rect">
                      <a:avLst/>
                    </a:prstGeom>
                    <a:noFill/>
                    <a:ln>
                      <a:noFill/>
                    </a:ln>
                  </pic:spPr>
                </pic:pic>
              </a:graphicData>
            </a:graphic>
          </wp:inline>
        </w:drawing>
      </w:r>
    </w:p>
    <w:p w14:paraId="10AA9DBB">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b/>
          <w:bCs/>
          <w:highlight w:val="yellow"/>
          <w:lang w:val="en-US" w:eastAsia="zh-CN"/>
        </w:rPr>
      </w:pPr>
      <w:bookmarkStart w:id="18" w:name="_GoBack"/>
      <w:r>
        <w:rPr>
          <w:rFonts w:hint="eastAsia"/>
          <w:b/>
          <w:bCs/>
          <w:highlight w:val="yellow"/>
          <w:lang w:val="en-US" w:eastAsia="zh-CN"/>
        </w:rPr>
        <w:t>竞买须知：</w:t>
      </w:r>
    </w:p>
    <w:bookmarkEnd w:id="18"/>
    <w:p w14:paraId="7CD4C15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yellow"/>
        </w:rPr>
      </w:pPr>
      <w:r>
        <w:rPr>
          <w:rFonts w:hint="eastAsia"/>
          <w:highlight w:val="yellow"/>
          <w:lang w:val="en-US" w:eastAsia="zh-CN"/>
        </w:rPr>
        <w:t>1、竞买人</w:t>
      </w:r>
      <w:r>
        <w:rPr>
          <w:rFonts w:hint="eastAsia"/>
          <w:highlight w:val="yellow"/>
        </w:rPr>
        <w:t>进入到竞价主页面，此页面包含“时间信息”、“竞价</w:t>
      </w:r>
      <w:r>
        <w:rPr>
          <w:rFonts w:hint="eastAsia"/>
          <w:highlight w:val="yellow"/>
          <w:lang w:val="en-US" w:eastAsia="zh-CN"/>
        </w:rPr>
        <w:t>概况</w:t>
      </w:r>
      <w:r>
        <w:rPr>
          <w:rFonts w:hint="eastAsia"/>
          <w:highlight w:val="yellow"/>
        </w:rPr>
        <w:t>”、“我的报价”和“有效报价”等内容。</w:t>
      </w:r>
    </w:p>
    <w:p w14:paraId="2162BC2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yellow"/>
        </w:rPr>
      </w:pPr>
      <w:r>
        <w:rPr>
          <w:rFonts w:hint="eastAsia"/>
          <w:highlight w:val="yellow"/>
          <w:lang w:eastAsia="zh-CN"/>
        </w:rPr>
        <w:t>（</w:t>
      </w:r>
      <w:r>
        <w:rPr>
          <w:rFonts w:hint="eastAsia"/>
          <w:highlight w:val="yellow"/>
          <w:lang w:val="en-US" w:eastAsia="zh-CN"/>
        </w:rPr>
        <w:t>1</w:t>
      </w:r>
      <w:r>
        <w:rPr>
          <w:rFonts w:hint="eastAsia"/>
          <w:highlight w:val="yellow"/>
          <w:lang w:eastAsia="zh-CN"/>
        </w:rPr>
        <w:t>）</w:t>
      </w:r>
      <w:r>
        <w:rPr>
          <w:rFonts w:hint="eastAsia"/>
          <w:highlight w:val="yellow"/>
        </w:rPr>
        <w:t>“我的报价”栏主要进行报价操作，在相应区域填写需要出价的数量和单位。“竞价</w:t>
      </w:r>
      <w:r>
        <w:rPr>
          <w:rFonts w:hint="eastAsia"/>
          <w:highlight w:val="yellow"/>
          <w:lang w:val="en-US" w:eastAsia="zh-CN"/>
        </w:rPr>
        <w:t>步长</w:t>
      </w:r>
      <w:r>
        <w:rPr>
          <w:rFonts w:hint="eastAsia"/>
          <w:highlight w:val="yellow"/>
        </w:rPr>
        <w:t>”为每次出价的加价幅度，系统只接受“首报价”+“竞价</w:t>
      </w:r>
      <w:r>
        <w:rPr>
          <w:rFonts w:hint="eastAsia"/>
          <w:highlight w:val="yellow"/>
          <w:lang w:val="en-US" w:eastAsia="zh-CN"/>
        </w:rPr>
        <w:t>步长</w:t>
      </w:r>
      <w:r>
        <w:rPr>
          <w:rFonts w:hint="eastAsia"/>
          <w:highlight w:val="yellow"/>
        </w:rPr>
        <w:t>”所形成的价格，出价不符合报价规则系统会按照原因给出相应提示。</w:t>
      </w:r>
    </w:p>
    <w:p w14:paraId="27D09AC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yellow"/>
        </w:rPr>
      </w:pPr>
      <w:r>
        <w:rPr>
          <w:rFonts w:hint="eastAsia"/>
          <w:highlight w:val="yellow"/>
          <w:lang w:eastAsia="zh-CN"/>
        </w:rPr>
        <w:t>（</w:t>
      </w:r>
      <w:r>
        <w:rPr>
          <w:rFonts w:hint="eastAsia"/>
          <w:highlight w:val="yellow"/>
          <w:lang w:val="en-US" w:eastAsia="zh-CN"/>
        </w:rPr>
        <w:t>2）</w:t>
      </w:r>
      <w:r>
        <w:rPr>
          <w:rFonts w:hint="eastAsia"/>
          <w:highlight w:val="yellow"/>
        </w:rPr>
        <w:t>“</w:t>
      </w:r>
      <w:r>
        <w:rPr>
          <w:rFonts w:hint="eastAsia"/>
          <w:highlight w:val="yellow"/>
          <w:lang w:val="en-US" w:eastAsia="zh-CN"/>
        </w:rPr>
        <w:t>申购数量</w:t>
      </w:r>
      <w:r>
        <w:rPr>
          <w:rFonts w:hint="eastAsia"/>
          <w:highlight w:val="yellow"/>
        </w:rPr>
        <w:t>”也显示在其中，该数量是本场交易</w:t>
      </w:r>
      <w:r>
        <w:rPr>
          <w:rFonts w:hint="eastAsia"/>
          <w:highlight w:val="yellow"/>
          <w:lang w:val="en-US" w:eastAsia="zh-CN"/>
        </w:rPr>
        <w:t>受让方</w:t>
      </w:r>
      <w:r>
        <w:rPr>
          <w:rFonts w:hint="eastAsia"/>
          <w:highlight w:val="yellow"/>
        </w:rPr>
        <w:t>可以购买的最大数量，</w:t>
      </w:r>
      <w:r>
        <w:rPr>
          <w:rFonts w:hint="eastAsia"/>
          <w:highlight w:val="yellow"/>
          <w:lang w:val="en-US" w:eastAsia="zh-CN"/>
        </w:rPr>
        <w:t>受让方</w:t>
      </w:r>
      <w:r>
        <w:rPr>
          <w:rFonts w:hint="eastAsia"/>
          <w:highlight w:val="yellow"/>
        </w:rPr>
        <w:t>购买</w:t>
      </w:r>
      <w:r>
        <w:rPr>
          <w:rFonts w:hint="eastAsia"/>
          <w:highlight w:val="yellow"/>
          <w:lang w:val="en-US" w:eastAsia="zh-CN"/>
        </w:rPr>
        <w:t>用能权指标</w:t>
      </w:r>
      <w:r>
        <w:rPr>
          <w:rFonts w:hint="eastAsia"/>
          <w:highlight w:val="yellow"/>
        </w:rPr>
        <w:t>交易数量的合计值不能大于该值。</w:t>
      </w:r>
    </w:p>
    <w:p w14:paraId="461C876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思源宋体 CN ExtraLight"/>
          <w:highlight w:val="yellow"/>
          <w:lang w:val="en-US" w:eastAsia="zh-CN"/>
        </w:rPr>
      </w:pPr>
      <w:r>
        <w:rPr>
          <w:rFonts w:hint="eastAsia"/>
          <w:highlight w:val="yellow"/>
          <w:lang w:eastAsia="zh-CN"/>
        </w:rPr>
        <w:t>（</w:t>
      </w:r>
      <w:r>
        <w:rPr>
          <w:rFonts w:hint="eastAsia"/>
          <w:highlight w:val="yellow"/>
          <w:lang w:val="en-US" w:eastAsia="zh-CN"/>
        </w:rPr>
        <w:t>3</w:t>
      </w:r>
      <w:r>
        <w:rPr>
          <w:rFonts w:hint="eastAsia"/>
          <w:highlight w:val="yellow"/>
          <w:lang w:eastAsia="zh-CN"/>
        </w:rPr>
        <w:t>）</w:t>
      </w:r>
      <w:r>
        <w:rPr>
          <w:rFonts w:hint="eastAsia"/>
          <w:highlight w:val="yellow"/>
        </w:rPr>
        <w:t>“有效报价”栏，显示本场交易所有参与者的有效报价信息，红色为己方报价，黑色为其他参与者报价</w:t>
      </w:r>
      <w:r>
        <w:rPr>
          <w:rFonts w:hint="eastAsia"/>
          <w:highlight w:val="yellow"/>
          <w:lang w:eastAsia="zh-CN"/>
        </w:rPr>
        <w:t>。系统会按照</w:t>
      </w:r>
      <w:r>
        <w:rPr>
          <w:rFonts w:hint="eastAsia"/>
          <w:highlight w:val="yellow"/>
          <w:lang w:val="en-US" w:eastAsia="zh-CN"/>
        </w:rPr>
        <w:t>出价</w:t>
      </w:r>
      <w:r>
        <w:rPr>
          <w:rFonts w:hint="eastAsia"/>
          <w:highlight w:val="yellow"/>
          <w:lang w:eastAsia="zh-CN"/>
        </w:rPr>
        <w:t>顺序将挂卖的用能权按照各参与者的委托数量进行分配</w:t>
      </w:r>
      <w:r>
        <w:rPr>
          <w:rFonts w:hint="eastAsia"/>
          <w:highlight w:val="yellow"/>
          <w:lang w:val="en-US" w:eastAsia="zh-CN"/>
        </w:rPr>
        <w:t xml:space="preserve"> </w:t>
      </w:r>
      <w:r>
        <w:rPr>
          <w:rFonts w:hint="eastAsia"/>
          <w:color w:val="FF0000"/>
          <w:highlight w:val="yellow"/>
          <w:lang w:eastAsia="zh-CN"/>
        </w:rPr>
        <w:t>（排在最后一名</w:t>
      </w:r>
      <w:r>
        <w:rPr>
          <w:rFonts w:hint="eastAsia"/>
          <w:color w:val="FF0000"/>
          <w:highlight w:val="yellow"/>
          <w:lang w:val="en-US" w:eastAsia="zh-CN"/>
        </w:rPr>
        <w:t>报价数量</w:t>
      </w:r>
      <w:r>
        <w:rPr>
          <w:rFonts w:hint="eastAsia"/>
          <w:color w:val="FF0000"/>
          <w:highlight w:val="yellow"/>
          <w:lang w:eastAsia="zh-CN"/>
        </w:rPr>
        <w:t>的</w:t>
      </w:r>
      <w:r>
        <w:rPr>
          <w:rFonts w:hint="eastAsia"/>
          <w:color w:val="FF0000"/>
          <w:highlight w:val="yellow"/>
          <w:lang w:val="en-US" w:eastAsia="zh-CN"/>
        </w:rPr>
        <w:t>自动修改为当前剩余的用能权数量</w:t>
      </w:r>
      <w:r>
        <w:rPr>
          <w:rFonts w:hint="eastAsia"/>
          <w:color w:val="FF0000"/>
          <w:highlight w:val="yellow"/>
          <w:lang w:eastAsia="zh-CN"/>
        </w:rPr>
        <w:t>）</w:t>
      </w:r>
      <w:r>
        <w:rPr>
          <w:rFonts w:hint="eastAsia"/>
          <w:highlight w:val="yellow"/>
          <w:lang w:eastAsia="zh-CN"/>
        </w:rPr>
        <w:t>，没有分配到的将不再显示排列顺序，称为“被挤出”。</w:t>
      </w:r>
    </w:p>
    <w:p w14:paraId="115D743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yellow"/>
        </w:rPr>
      </w:pPr>
      <w:r>
        <w:rPr>
          <w:rFonts w:hint="eastAsia"/>
          <w:highlight w:val="yellow"/>
          <w:lang w:val="en-US" w:eastAsia="zh-CN"/>
        </w:rPr>
        <w:t>2、</w:t>
      </w:r>
      <w:r>
        <w:rPr>
          <w:rFonts w:hint="eastAsia"/>
          <w:highlight w:val="yellow"/>
        </w:rPr>
        <w:t>竞价操作时，先按己方</w:t>
      </w:r>
      <w:r>
        <w:rPr>
          <w:rFonts w:hint="eastAsia"/>
          <w:highlight w:val="yellow"/>
          <w:lang w:val="en-US" w:eastAsia="zh-CN"/>
        </w:rPr>
        <w:t>申购数量</w:t>
      </w:r>
      <w:r>
        <w:rPr>
          <w:rFonts w:hint="eastAsia"/>
          <w:highlight w:val="yellow"/>
        </w:rPr>
        <w:t>输入所购买</w:t>
      </w:r>
      <w:r>
        <w:rPr>
          <w:rFonts w:hint="eastAsia"/>
          <w:highlight w:val="yellow"/>
          <w:lang w:val="en-US" w:eastAsia="zh-CN"/>
        </w:rPr>
        <w:t>用能权</w:t>
      </w:r>
      <w:r>
        <w:rPr>
          <w:rFonts w:hint="eastAsia"/>
          <w:highlight w:val="yellow"/>
        </w:rPr>
        <w:t>的数量，点击竞价幅度中的加价</w:t>
      </w:r>
      <w:r>
        <w:rPr>
          <w:rFonts w:hint="eastAsia"/>
          <w:highlight w:val="yellow"/>
          <w:lang w:val="en-US" w:eastAsia="zh-CN"/>
        </w:rPr>
        <w:t>倍数</w:t>
      </w:r>
      <w:r>
        <w:rPr>
          <w:rFonts w:hint="eastAsia"/>
          <w:highlight w:val="yellow"/>
        </w:rPr>
        <w:t>可修改当前出价，点击“提交报价”，系统会提示确认信息，点确认后下单成功。在实际交易中，交易信息会频繁刷新，建议直接按照“</w:t>
      </w:r>
      <w:r>
        <w:rPr>
          <w:rFonts w:hint="eastAsia"/>
          <w:highlight w:val="yellow"/>
          <w:lang w:val="en-US" w:eastAsia="zh-CN"/>
        </w:rPr>
        <w:t>申购数量</w:t>
      </w:r>
      <w:r>
        <w:rPr>
          <w:rFonts w:hint="eastAsia"/>
          <w:highlight w:val="yellow"/>
        </w:rPr>
        <w:t>”输入数量，拆分过多的委托单会导致操作动作繁琐，影响购买成功率。</w:t>
      </w:r>
    </w:p>
    <w:p w14:paraId="53B8AAA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yellow"/>
        </w:rPr>
      </w:pPr>
      <w:r>
        <w:rPr>
          <w:rFonts w:hint="eastAsia"/>
          <w:highlight w:val="yellow"/>
        </w:rPr>
        <w:t>竞价时，当“已报数量”小于“交易数量”时，交易结束时间即为交易</w:t>
      </w:r>
      <w:r>
        <w:rPr>
          <w:rFonts w:hint="eastAsia"/>
          <w:highlight w:val="yellow"/>
          <w:lang w:val="en-US" w:eastAsia="zh-CN"/>
        </w:rPr>
        <w:t>公告</w:t>
      </w:r>
      <w:r>
        <w:rPr>
          <w:rFonts w:hint="eastAsia"/>
          <w:highlight w:val="yellow"/>
        </w:rPr>
        <w:t>发布的结束时间，当“已报数量”</w:t>
      </w:r>
      <w:r>
        <w:rPr>
          <w:rFonts w:hint="eastAsia"/>
          <w:highlight w:val="yellow"/>
          <w:lang w:val="en-US" w:eastAsia="zh-CN"/>
        </w:rPr>
        <w:t>大于</w:t>
      </w:r>
      <w:r>
        <w:rPr>
          <w:rFonts w:hint="eastAsia"/>
          <w:highlight w:val="yellow"/>
        </w:rPr>
        <w:t>等于“交易数量”时，会出现 10 分钟倒计时，在交易过程中，如果没有任何人有效报价，倒计时会持续计时，直至结束，期间如果有任何有效报价，倒计时重新从 10 分钟开始计算。</w:t>
      </w:r>
    </w:p>
    <w:p w14:paraId="26DDB44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yellow"/>
        </w:rPr>
      </w:pPr>
      <w:r>
        <w:rPr>
          <w:rFonts w:hint="eastAsia"/>
          <w:highlight w:val="yellow"/>
        </w:rPr>
        <w:t>在交易过程中，随着价格的逐渐升高，如果觉得己方的出价已经不具优势，可以通过“修改价格”（加价）来提高出价，从而获得相对较高的优先级。在“有效报价”栏中，点击己方下单信息的下单价格部分</w:t>
      </w:r>
      <w:r>
        <w:rPr>
          <w:rFonts w:hint="eastAsia"/>
          <w:highlight w:val="yellow"/>
          <w:lang w:val="en-US" w:eastAsia="zh-CN"/>
        </w:rPr>
        <w:t>可以</w:t>
      </w:r>
      <w:r>
        <w:rPr>
          <w:rFonts w:hint="eastAsia"/>
          <w:highlight w:val="yellow"/>
        </w:rPr>
        <w:t>修改价格</w:t>
      </w:r>
      <w:r>
        <w:rPr>
          <w:rFonts w:hint="eastAsia"/>
          <w:highlight w:val="yellow"/>
          <w:lang w:eastAsia="zh-CN"/>
        </w:rPr>
        <w:t>，</w:t>
      </w:r>
      <w:r>
        <w:rPr>
          <w:rFonts w:hint="eastAsia"/>
          <w:highlight w:val="yellow"/>
          <w:lang w:val="en-US" w:eastAsia="zh-CN"/>
        </w:rPr>
        <w:t>修改完成后点击保存提交报价</w:t>
      </w:r>
      <w:r>
        <w:rPr>
          <w:rFonts w:hint="eastAsia"/>
          <w:highlight w:val="yellow"/>
        </w:rPr>
        <w:t>。</w:t>
      </w:r>
    </w:p>
    <w:p w14:paraId="0E83F1B4">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highlight w:val="yellow"/>
        </w:rPr>
      </w:pPr>
      <w:r>
        <w:drawing>
          <wp:inline distT="0" distB="0" distL="114300" distR="114300">
            <wp:extent cx="5291455" cy="2560320"/>
            <wp:effectExtent l="0" t="0" r="4445" b="1143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3"/>
                    <a:stretch>
                      <a:fillRect/>
                    </a:stretch>
                  </pic:blipFill>
                  <pic:spPr>
                    <a:xfrm>
                      <a:off x="0" y="0"/>
                      <a:ext cx="5291455" cy="2560320"/>
                    </a:xfrm>
                    <a:prstGeom prst="rect">
                      <a:avLst/>
                    </a:prstGeom>
                    <a:noFill/>
                    <a:ln>
                      <a:noFill/>
                    </a:ln>
                  </pic:spPr>
                </pic:pic>
              </a:graphicData>
            </a:graphic>
          </wp:inline>
        </w:drawing>
      </w:r>
    </w:p>
    <w:p w14:paraId="7210EF9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yellow"/>
        </w:rPr>
      </w:pPr>
      <w:r>
        <w:rPr>
          <w:rFonts w:hint="eastAsia"/>
          <w:highlight w:val="yellow"/>
        </w:rPr>
        <w:t>注意事项：“提交报价”操作会产生一条新的交易记录，一般来说会增加购买的数量并且产生一个新的下单时间；“修改报价”只是改变上次下单的价格，不会改变下单数量和下单时间。当己方一次下单的数量等于“核定需求量”时，则不要再次进行“下单” 操作，否则系统会提示“购买数量</w:t>
      </w:r>
      <w:r>
        <w:rPr>
          <w:rFonts w:hint="eastAsia"/>
          <w:highlight w:val="yellow"/>
          <w:lang w:val="en-US" w:eastAsia="zh-CN"/>
        </w:rPr>
        <w:t>申购数量</w:t>
      </w:r>
      <w:r>
        <w:rPr>
          <w:rFonts w:hint="eastAsia"/>
          <w:highlight w:val="yellow"/>
        </w:rPr>
        <w:t>”，如需修改出价，可以通过“修改报价”功能操作。</w:t>
      </w:r>
    </w:p>
    <w:p w14:paraId="5DE8D78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yellow"/>
        </w:rPr>
      </w:pPr>
      <w:r>
        <w:rPr>
          <w:rFonts w:hint="eastAsia"/>
          <w:highlight w:val="yellow"/>
        </w:rPr>
        <w:t>网络报价时间以交易系统技术支持方的服务器时间为准。在网络竞价期间，</w:t>
      </w:r>
      <w:r>
        <w:rPr>
          <w:rFonts w:hint="eastAsia"/>
          <w:highlight w:val="yellow"/>
          <w:lang w:val="en-US" w:eastAsia="zh-CN"/>
        </w:rPr>
        <w:t>竞买人</w:t>
      </w:r>
      <w:r>
        <w:rPr>
          <w:rFonts w:hint="eastAsia"/>
          <w:highlight w:val="yellow"/>
        </w:rPr>
        <w:t>应关注网络报价变化、自身报价和项目成交情况，并对自身报价操作和结果承担责任。</w:t>
      </w:r>
    </w:p>
    <w:p w14:paraId="3CDAB08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yellow"/>
        </w:rPr>
      </w:pPr>
      <w:r>
        <w:rPr>
          <w:rFonts w:hint="eastAsia"/>
          <w:highlight w:val="yellow"/>
        </w:rPr>
        <w:t>所以，越早的下单并及时修改价格提高报价，不被“挤出去”， 是能否成功购买的关键操作。</w:t>
      </w:r>
    </w:p>
    <w:p w14:paraId="21736B4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yellow"/>
        </w:rPr>
      </w:pPr>
      <w:r>
        <w:rPr>
          <w:rFonts w:hint="eastAsia"/>
          <w:highlight w:val="yellow"/>
        </w:rPr>
        <w:t>如果发现在“有效报价”中没有己方的下单信息，说明自己已经被竞争对手“挤出去”，需要重新“下单”。 竞买过程中，可能需要多次“提交报价”或“修改价格”来维持己方的优先级，操作次数不做限制。</w:t>
      </w:r>
    </w:p>
    <w:p w14:paraId="45C7524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highlight w:val="yellow"/>
          <w:lang w:val="en-US" w:eastAsia="zh-CN"/>
        </w:rPr>
        <w:t>3、</w:t>
      </w:r>
      <w:r>
        <w:rPr>
          <w:rFonts w:hint="eastAsia"/>
          <w:highlight w:val="yellow"/>
        </w:rPr>
        <w:t>成交条件。在交易结束时，所有在“有效报价”中显示的下单记录都会成交，也就是说只要在交易结束时，己方的“下单”信息仍未被“挤出去”即可成交。</w:t>
      </w:r>
    </w:p>
    <w:p w14:paraId="6CE0506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lang w:val="en-US" w:eastAsia="zh-CN"/>
        </w:rPr>
        <w:t>4</w:t>
      </w:r>
      <w:r>
        <w:rPr>
          <w:rFonts w:hint="eastAsia"/>
        </w:rPr>
        <w:t>、成交的企业可以在“成交项目”列表中点击“</w:t>
      </w:r>
      <w:r>
        <w:rPr>
          <w:rFonts w:hint="eastAsia"/>
          <w:lang w:val="en-US" w:eastAsia="zh-CN"/>
        </w:rPr>
        <w:t>交易凭证</w:t>
      </w:r>
      <w:r>
        <w:rPr>
          <w:rFonts w:hint="eastAsia"/>
        </w:rPr>
        <w:t>”按钮查看或者下载“</w:t>
      </w:r>
      <w:r>
        <w:rPr>
          <w:rFonts w:hint="eastAsia"/>
          <w:lang w:val="en-US" w:eastAsia="zh-CN"/>
        </w:rPr>
        <w:t>交易凭证</w:t>
      </w:r>
      <w:r>
        <w:rPr>
          <w:rFonts w:hint="eastAsia"/>
        </w:rPr>
        <w:t>”。</w:t>
      </w:r>
    </w:p>
    <w:p w14:paraId="65703A80">
      <w:pPr>
        <w:ind w:firstLine="0" w:firstLineChars="0"/>
      </w:pPr>
      <w:r>
        <w:drawing>
          <wp:inline distT="0" distB="0" distL="0" distR="0">
            <wp:extent cx="5274310" cy="2277110"/>
            <wp:effectExtent l="0" t="0" r="2540" b="889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4"/>
                    <a:stretch>
                      <a:fillRect/>
                    </a:stretch>
                  </pic:blipFill>
                  <pic:spPr>
                    <a:xfrm>
                      <a:off x="0" y="0"/>
                      <a:ext cx="5274310" cy="2277110"/>
                    </a:xfrm>
                    <a:prstGeom prst="rect">
                      <a:avLst/>
                    </a:prstGeom>
                  </pic:spPr>
                </pic:pic>
              </a:graphicData>
            </a:graphic>
          </wp:inline>
        </w:drawing>
      </w:r>
      <w:r>
        <w:drawing>
          <wp:inline distT="0" distB="0" distL="0" distR="0">
            <wp:extent cx="5274310" cy="2955290"/>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5"/>
                    <a:stretch>
                      <a:fillRect/>
                    </a:stretch>
                  </pic:blipFill>
                  <pic:spPr>
                    <a:xfrm>
                      <a:off x="0" y="0"/>
                      <a:ext cx="5274310" cy="2955290"/>
                    </a:xfrm>
                    <a:prstGeom prst="rect">
                      <a:avLst/>
                    </a:prstGeom>
                  </pic:spPr>
                </pic:pic>
              </a:graphicData>
            </a:graphic>
          </wp:inline>
        </w:drawing>
      </w:r>
    </w:p>
    <w:p w14:paraId="01D04C1D">
      <w:pPr>
        <w:keepNext/>
        <w:keepLines/>
        <w:widowControl w:val="0"/>
        <w:numPr>
          <w:ilvl w:val="1"/>
          <w:numId w:val="1"/>
        </w:numPr>
        <w:spacing w:before="120" w:after="120" w:line="360" w:lineRule="auto"/>
        <w:ind w:firstLine="200" w:firstLineChars="0"/>
        <w:jc w:val="both"/>
        <w:outlineLvl w:val="1"/>
        <w:rPr>
          <w:rFonts w:hint="eastAsia" w:ascii="Times New Roman" w:hAnsi="Times New Roman" w:eastAsia="思源宋体 CN ExtraLight" w:cs="Times New Roman"/>
          <w:b/>
          <w:bCs/>
          <w:kern w:val="2"/>
          <w:sz w:val="30"/>
          <w:szCs w:val="32"/>
          <w:lang w:val="en-US" w:eastAsia="zh-CN" w:bidi="ar-SA"/>
        </w:rPr>
      </w:pPr>
      <w:bookmarkStart w:id="16" w:name="_Toc2687"/>
      <w:r>
        <w:rPr>
          <w:rFonts w:hint="eastAsia" w:ascii="Times New Roman" w:hAnsi="Times New Roman" w:eastAsia="思源宋体 CN ExtraLight" w:cs="Times New Roman"/>
          <w:b/>
          <w:bCs/>
          <w:kern w:val="2"/>
          <w:sz w:val="30"/>
          <w:szCs w:val="32"/>
          <w:lang w:val="en-US" w:eastAsia="zh-CN" w:bidi="ar-SA"/>
        </w:rPr>
        <w:t>合同备案</w:t>
      </w:r>
      <w:bookmarkEnd w:id="16"/>
    </w:p>
    <w:p w14:paraId="2F04A40B">
      <w:pPr>
        <w:ind w:firstLine="420"/>
        <w:rPr>
          <w:rFonts w:hint="default" w:ascii="宋体" w:hAnsi="宋体" w:eastAsia="思源宋体 CN ExtraLight"/>
          <w:lang w:val="en-US" w:eastAsia="zh-CN"/>
        </w:rPr>
      </w:pPr>
      <w:r>
        <w:rPr>
          <w:rFonts w:ascii="宋体" w:hAnsi="宋体"/>
          <w:b/>
        </w:rPr>
        <w:t>前提条件：</w:t>
      </w:r>
      <w:r>
        <w:rPr>
          <w:rFonts w:hint="eastAsia" w:ascii="宋体" w:hAnsi="宋体"/>
          <w:b/>
          <w:lang w:val="en-US" w:eastAsia="zh-CN"/>
        </w:rPr>
        <w:t>发改部门发布合同备案，企业查看备案详情</w:t>
      </w:r>
    </w:p>
    <w:p w14:paraId="6015F39E">
      <w:pPr>
        <w:ind w:firstLine="420"/>
        <w:rPr>
          <w:rFonts w:hint="eastAsia" w:ascii="宋体" w:hAnsi="宋体"/>
          <w:b/>
        </w:rPr>
      </w:pPr>
      <w:r>
        <w:rPr>
          <w:rFonts w:ascii="宋体" w:hAnsi="宋体"/>
          <w:b/>
        </w:rPr>
        <w:t>操作步骤：</w:t>
      </w:r>
    </w:p>
    <w:p w14:paraId="452FD90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1、在企业端系统中点击左侧“用能权交易-合同备案-</w:t>
      </w:r>
      <w:r>
        <w:rPr>
          <w:rFonts w:hint="eastAsia"/>
          <w:lang w:val="en-US" w:eastAsia="zh-CN"/>
        </w:rPr>
        <w:t>操作</w:t>
      </w:r>
      <w:r>
        <w:rPr>
          <w:rFonts w:hint="eastAsia"/>
        </w:rPr>
        <w:t>”按钮，</w:t>
      </w:r>
      <w:r>
        <w:rPr>
          <w:rFonts w:hint="eastAsia"/>
          <w:lang w:val="en-US" w:eastAsia="zh-CN"/>
        </w:rPr>
        <w:t>查看</w:t>
      </w:r>
      <w:r>
        <w:rPr>
          <w:rFonts w:hint="eastAsia"/>
        </w:rPr>
        <w:t>合同备案</w:t>
      </w:r>
      <w:r>
        <w:rPr>
          <w:rFonts w:hint="eastAsia"/>
          <w:lang w:val="en-US" w:eastAsia="zh-CN"/>
        </w:rPr>
        <w:t>详情</w:t>
      </w:r>
      <w:r>
        <w:rPr>
          <w:rFonts w:hint="eastAsia"/>
        </w:rPr>
        <w:t>，如下图：</w:t>
      </w:r>
    </w:p>
    <w:p w14:paraId="003D7873">
      <w:pPr>
        <w:ind w:firstLine="0" w:firstLineChars="0"/>
      </w:pPr>
      <w:r>
        <w:drawing>
          <wp:inline distT="0" distB="0" distL="114300" distR="114300">
            <wp:extent cx="5274310" cy="2552065"/>
            <wp:effectExtent l="0" t="0" r="2540"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6"/>
                    <a:stretch>
                      <a:fillRect/>
                    </a:stretch>
                  </pic:blipFill>
                  <pic:spPr>
                    <a:xfrm>
                      <a:off x="0" y="0"/>
                      <a:ext cx="5274310" cy="2552065"/>
                    </a:xfrm>
                    <a:prstGeom prst="rect">
                      <a:avLst/>
                    </a:prstGeom>
                    <a:noFill/>
                    <a:ln>
                      <a:noFill/>
                    </a:ln>
                  </pic:spPr>
                </pic:pic>
              </a:graphicData>
            </a:graphic>
          </wp:inline>
        </w:drawing>
      </w:r>
    </w:p>
    <w:p w14:paraId="2DE94527">
      <w:pPr>
        <w:pStyle w:val="3"/>
        <w:rPr>
          <w:rFonts w:hint="eastAsia"/>
        </w:rPr>
      </w:pPr>
      <w:bookmarkStart w:id="17" w:name="_Toc22703"/>
      <w:r>
        <w:rPr>
          <w:rFonts w:hint="eastAsia"/>
        </w:rPr>
        <w:t>资金交割</w:t>
      </w:r>
      <w:bookmarkEnd w:id="17"/>
    </w:p>
    <w:p w14:paraId="690EA2B6">
      <w:pPr>
        <w:ind w:firstLine="420"/>
        <w:rPr>
          <w:rFonts w:hint="eastAsia" w:ascii="宋体" w:hAnsi="宋体"/>
        </w:rPr>
      </w:pPr>
      <w:r>
        <w:rPr>
          <w:rFonts w:ascii="宋体" w:hAnsi="宋体"/>
          <w:b/>
        </w:rPr>
        <w:t>前提条件：</w:t>
      </w:r>
      <w:r>
        <w:rPr>
          <w:rFonts w:hint="eastAsia" w:ascii="宋体" w:hAnsi="宋体"/>
          <w:b/>
        </w:rPr>
        <w:t>本企业已成交，合同备案已审核通过</w:t>
      </w:r>
    </w:p>
    <w:p w14:paraId="71850D23">
      <w:pPr>
        <w:ind w:firstLine="420"/>
        <w:rPr>
          <w:rFonts w:hint="eastAsia" w:ascii="宋体" w:hAnsi="宋体"/>
          <w:b/>
        </w:rPr>
      </w:pPr>
      <w:r>
        <w:rPr>
          <w:rFonts w:ascii="宋体" w:hAnsi="宋体"/>
          <w:b/>
        </w:rPr>
        <w:t>操作步骤：</w:t>
      </w:r>
    </w:p>
    <w:p w14:paraId="21310629">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rPr>
        <w:t>1、在企业端系统中点击左侧“用能权交易-资金交割”按钮，打开资金划转申请列表页面，如下图：</w:t>
      </w:r>
    </w:p>
    <w:p w14:paraId="79622280">
      <w:pPr>
        <w:ind w:firstLine="0" w:firstLineChars="0"/>
      </w:pPr>
      <w:r>
        <w:drawing>
          <wp:inline distT="0" distB="0" distL="0" distR="0">
            <wp:extent cx="5274310" cy="1313815"/>
            <wp:effectExtent l="0" t="0" r="2540"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7"/>
                    <a:stretch>
                      <a:fillRect/>
                    </a:stretch>
                  </pic:blipFill>
                  <pic:spPr>
                    <a:xfrm>
                      <a:off x="0" y="0"/>
                      <a:ext cx="5274310" cy="1313815"/>
                    </a:xfrm>
                    <a:prstGeom prst="rect">
                      <a:avLst/>
                    </a:prstGeom>
                  </pic:spPr>
                </pic:pic>
              </a:graphicData>
            </a:graphic>
          </wp:inline>
        </w:drawing>
      </w:r>
    </w:p>
    <w:p w14:paraId="433E8F3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2、点击“新增转账申请”打开挑选项目列表，</w:t>
      </w:r>
    </w:p>
    <w:p w14:paraId="5B3DB9DC">
      <w:pPr>
        <w:ind w:firstLine="0" w:firstLineChars="0"/>
      </w:pPr>
      <w:r>
        <w:drawing>
          <wp:inline distT="0" distB="0" distL="0" distR="0">
            <wp:extent cx="5274310" cy="1374775"/>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8"/>
                    <a:stretch>
                      <a:fillRect/>
                    </a:stretch>
                  </pic:blipFill>
                  <pic:spPr>
                    <a:xfrm>
                      <a:off x="0" y="0"/>
                      <a:ext cx="5274310" cy="1374775"/>
                    </a:xfrm>
                    <a:prstGeom prst="rect">
                      <a:avLst/>
                    </a:prstGeom>
                  </pic:spPr>
                </pic:pic>
              </a:graphicData>
            </a:graphic>
          </wp:inline>
        </w:drawing>
      </w:r>
    </w:p>
    <w:p w14:paraId="1EE3839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3、选择已成交的项目后自动打开“新增资金划转”页面，在该页面填写转账情况，并提交给交易中心、发改监管部门审核后，会通过系统对接，自动执行资金划转。</w:t>
      </w:r>
    </w:p>
    <w:p w14:paraId="0838A677">
      <w:pPr>
        <w:ind w:firstLine="0" w:firstLineChars="0"/>
      </w:pPr>
      <w:r>
        <w:drawing>
          <wp:inline distT="0" distB="0" distL="0" distR="0">
            <wp:extent cx="5274310" cy="2962910"/>
            <wp:effectExtent l="0" t="0" r="2540" b="889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9"/>
                    <a:stretch>
                      <a:fillRect/>
                    </a:stretch>
                  </pic:blipFill>
                  <pic:spPr>
                    <a:xfrm>
                      <a:off x="0" y="0"/>
                      <a:ext cx="5274310" cy="2962910"/>
                    </a:xfrm>
                    <a:prstGeom prst="rect">
                      <a:avLst/>
                    </a:prstGeom>
                  </pic:spPr>
                </pic:pic>
              </a:graphicData>
            </a:graphic>
          </wp:inline>
        </w:drawing>
      </w:r>
    </w:p>
    <w:p w14:paraId="10D8EC45">
      <w:pPr>
        <w:ind w:firstLine="0" w:firstLineChars="0"/>
        <w:rPr>
          <w:rFonts w:hint="eastAsia"/>
        </w:rPr>
      </w:pPr>
    </w:p>
    <w:sectPr>
      <w:headerReference r:id="rId11" w:type="default"/>
      <w:pgSz w:w="11906" w:h="16838"/>
      <w:pgMar w:top="1440" w:right="1800" w:bottom="1440" w:left="1800" w:header="851" w:footer="992" w:gutter="0"/>
      <w:pgNumType w:start="2"/>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ExtraLight">
    <w:altName w:val="微软雅黑"/>
    <w:panose1 w:val="00000000000000000000"/>
    <w:charset w:val="86"/>
    <w:family w:val="auto"/>
    <w:pitch w:val="default"/>
    <w:sig w:usb0="00000000" w:usb1="00000000" w:usb2="00000016" w:usb3="00000000" w:csb0="60060107" w:csb1="00000000"/>
  </w:font>
  <w:font w:name="华文新魏">
    <w:panose1 w:val="02010800040101010101"/>
    <w:charset w:val="86"/>
    <w:family w:val="auto"/>
    <w:pitch w:val="default"/>
    <w:sig w:usb0="00000001" w:usb1="080F0000" w:usb2="00000000" w:usb3="00000000" w:csb0="00040000" w:csb1="00000000"/>
  </w:font>
  <w:font w:name="思源宋体 CN">
    <w:altName w:val="微软雅黑"/>
    <w:panose1 w:val="00000000000000000000"/>
    <w:charset w:val="86"/>
    <w:family w:val="auto"/>
    <w:pitch w:val="default"/>
    <w:sig w:usb0="00000000" w:usb1="00000000" w:usb2="00000016" w:usb3="00000000" w:csb0="60060107"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66A64">
    <w:pPr>
      <w:pStyle w:val="7"/>
      <w:pBdr>
        <w:top w:val="single" w:color="9BBB59" w:sz="24" w:space="5"/>
      </w:pBdr>
      <w:wordWrap w:val="0"/>
      <w:spacing w:line="240" w:lineRule="auto"/>
      <w:ind w:firstLine="360"/>
      <w:jc w:val="right"/>
      <w:rPr>
        <w:rFonts w:hint="default" w:ascii="思源宋体 CN ExtraLight" w:hAnsi="思源宋体 CN ExtraLight" w:eastAsia="思源宋体 CN ExtraLight" w:cs="思源宋体 CN ExtraLight"/>
        <w:lang w:val="en-US" w:eastAsia="zh-CN"/>
      </w:rPr>
    </w:pPr>
    <w:r>
      <w:rPr>
        <w:rFonts w:hint="eastAsia" w:ascii="思源宋体 CN ExtraLight" w:hAnsi="思源宋体 CN ExtraLight" w:cs="思源宋体 CN ExtraLight"/>
        <w:lang w:val="zh-CN"/>
      </w:rPr>
      <w:t>国泰新点软件</w:t>
    </w:r>
    <w:r>
      <w:rPr>
        <w:rFonts w:hint="eastAsia" w:ascii="思源宋体 CN ExtraLight" w:hAnsi="思源宋体 CN ExtraLight" w:cs="思源宋体 CN ExtraLight"/>
      </w:rPr>
      <w:t>股份</w:t>
    </w:r>
    <w:r>
      <w:rPr>
        <w:rFonts w:hint="eastAsia" w:ascii="思源宋体 CN ExtraLight" w:hAnsi="思源宋体 CN ExtraLight" w:cs="思源宋体 CN ExtraLight"/>
        <w:lang w:val="zh-CN"/>
      </w:rPr>
      <w:t xml:space="preserve">有限公司    0512-58188000                  </w:t>
    </w:r>
    <w:r>
      <w:rPr>
        <w:rFonts w:hint="eastAsia" w:ascii="思源宋体 CN ExtraLight" w:hAnsi="思源宋体 CN ExtraLight" w:cs="思源宋体 CN ExtraLight"/>
      </w:rPr>
      <w:fldChar w:fldCharType="begin"/>
    </w:r>
    <w:r>
      <w:rPr>
        <w:rFonts w:hint="eastAsia" w:ascii="思源宋体 CN ExtraLight" w:hAnsi="思源宋体 CN ExtraLight" w:cs="思源宋体 CN ExtraLight"/>
      </w:rPr>
      <w:instrText xml:space="preserve"> PAGE </w:instrText>
    </w:r>
    <w:r>
      <w:rPr>
        <w:rFonts w:hint="eastAsia" w:ascii="思源宋体 CN ExtraLight" w:hAnsi="思源宋体 CN ExtraLight" w:cs="思源宋体 CN ExtraLight"/>
      </w:rPr>
      <w:fldChar w:fldCharType="separate"/>
    </w:r>
    <w:r>
      <w:rPr>
        <w:rFonts w:hint="eastAsia" w:ascii="思源宋体 CN ExtraLight" w:hAnsi="思源宋体 CN ExtraLight" w:cs="思源宋体 CN ExtraLight"/>
      </w:rPr>
      <w:t>20</w:t>
    </w:r>
    <w:r>
      <w:rPr>
        <w:rFonts w:hint="eastAsia" w:ascii="思源宋体 CN ExtraLight" w:hAnsi="思源宋体 CN ExtraLight" w:cs="思源宋体 CN ExtraLight"/>
      </w:rPr>
      <w:fldChar w:fldCharType="end"/>
    </w:r>
    <w:r>
      <w:rPr>
        <w:rFonts w:hint="eastAsia" w:ascii="思源宋体 CN ExtraLight" w:hAnsi="思源宋体 CN ExtraLight" w:cs="思源宋体 CN ExtraLight"/>
        <w:lang w:val="zh-CN"/>
      </w:rPr>
      <w:t>/</w:t>
    </w:r>
    <w:r>
      <w:rPr>
        <w:rFonts w:hint="eastAsia" w:ascii="思源宋体 CN ExtraLight" w:hAnsi="思源宋体 CN ExtraLight" w:cs="思源宋体 CN ExtraLight"/>
        <w:lang w:val="en-US" w:eastAsia="zh-CN"/>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1BB83">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A438B">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04C4D">
    <w:pPr>
      <w:pStyle w:val="8"/>
      <w:ind w:firstLine="0" w:firstLineChars="0"/>
      <w:jc w:val="left"/>
    </w:pPr>
    <w:r>
      <w:rPr>
        <w:rFonts w:ascii="宋体" w:hAnsi="宋体"/>
      </w:rPr>
      <w:drawing>
        <wp:inline distT="0" distB="0" distL="114300" distR="114300">
          <wp:extent cx="596265" cy="302260"/>
          <wp:effectExtent l="0" t="0" r="13335" b="254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产权交易招标代理</w:t>
    </w:r>
    <w:r>
      <w:rPr>
        <w:rFonts w:hint="eastAsia" w:ascii="Cambria" w:hAnsi="Cambria"/>
      </w:rPr>
      <w:t xml:space="preserve">操作手册          </w:t>
    </w:r>
    <w:r>
      <w:t>CS-XM-</w:t>
    </w:r>
    <w:r>
      <w:rPr>
        <w:rFonts w:hint="eastAsia"/>
      </w:rPr>
      <w:t>CZSC</w:t>
    </w:r>
    <w:r>
      <w:rPr>
        <w:rFonts w:hint="eastAsia"/>
        <w:color w:val="000000"/>
      </w:rPr>
      <w:t>张家港</w:t>
    </w:r>
    <w:r>
      <w:rPr>
        <w:color w:val="000000"/>
      </w:rPr>
      <w:t>市20</w:t>
    </w:r>
    <w:r>
      <w:rPr>
        <w:rFonts w:hint="eastAsia"/>
        <w:color w:val="000000"/>
      </w:rPr>
      <w:t xml:space="preserve">13021904-CQJY60302  </w:t>
    </w:r>
    <w:r>
      <w:t>V</w:t>
    </w:r>
    <w:r>
      <w:rPr>
        <w:rFonts w:hint="eastAsia"/>
      </w:rPr>
      <w:t>1</w:t>
    </w:r>
    <w:r>
      <w:t>.</w:t>
    </w:r>
    <w:r>
      <w:rPr>
        <w:rFonts w:hint="eastAsia"/>
      </w:rPr>
      <w:t>0</w:t>
    </w:r>
  </w:p>
  <w:p w14:paraId="374BFEFD">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502DF">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04D0C">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95631">
    <w:pPr>
      <w:pStyle w:val="8"/>
      <w:pBdr>
        <w:bottom w:val="thickThinSmallGap" w:color="622423" w:sz="24" w:space="1"/>
      </w:pBdr>
      <w:ind w:firstLine="1080" w:firstLineChars="600"/>
      <w:jc w:val="left"/>
    </w:pPr>
    <w:r>
      <w:rPr>
        <w:rFonts w:hint="eastAsia" w:ascii="宋体" w:hAnsi="宋体"/>
      </w:rPr>
      <w:drawing>
        <wp:anchor distT="0" distB="0" distL="114300" distR="114300" simplePos="0" relativeHeight="251661312" behindDoc="0" locked="0" layoutInCell="1" allowOverlap="1">
          <wp:simplePos x="0" y="0"/>
          <wp:positionH relativeFrom="column">
            <wp:posOffset>8255</wp:posOffset>
          </wp:positionH>
          <wp:positionV relativeFrom="paragraph">
            <wp:posOffset>-55880</wp:posOffset>
          </wp:positionV>
          <wp:extent cx="601980" cy="256540"/>
          <wp:effectExtent l="0" t="0" r="7620" b="635"/>
          <wp:wrapNone/>
          <wp:docPr id="57" name="图片 1"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小"/>
                  <pic:cNvPicPr>
                    <a:picLocks noChangeAspect="1"/>
                  </pic:cNvPicPr>
                </pic:nvPicPr>
                <pic:blipFill>
                  <a:blip r:embed="rId1"/>
                  <a:srcRect b="24896"/>
                  <a:stretch>
                    <a:fillRect/>
                  </a:stretch>
                </pic:blipFill>
                <pic:spPr>
                  <a:xfrm>
                    <a:off x="0" y="0"/>
                    <a:ext cx="601980" cy="256540"/>
                  </a:xfrm>
                  <a:prstGeom prst="rect">
                    <a:avLst/>
                  </a:prstGeom>
                  <a:noFill/>
                  <a:ln>
                    <a:noFill/>
                  </a:ln>
                </pic:spPr>
              </pic:pic>
            </a:graphicData>
          </a:graphic>
        </wp:anchor>
      </w:drawing>
    </w:r>
    <w:r>
      <w:rPr>
        <w:rFonts w:hint="eastAsia"/>
      </w:rPr>
      <w:t>陕西省用能权交易平台-申购企业操作手册</w: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9ABD2">
                          <w:pPr>
                            <w:pStyle w:val="8"/>
                            <w:ind w:firstLine="0" w:firstLineChars="0"/>
                            <w:rPr>
                              <w:rFonts w:eastAsia="宋体"/>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14:paraId="4349ABD2">
                    <w:pPr>
                      <w:pStyle w:val="8"/>
                      <w:ind w:firstLine="0" w:firstLineChars="0"/>
                      <w:rPr>
                        <w:rFonts w:eastAsia="宋体"/>
                      </w:rPr>
                    </w:pPr>
                  </w:p>
                </w:txbxContent>
              </v:textbox>
            </v:shape>
          </w:pict>
        </mc:Fallback>
      </mc:AlternateContent>
    </w:r>
  </w:p>
  <w:p w14:paraId="4E1C7C61">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364472"/>
    <w:multiLevelType w:val="singleLevel"/>
    <w:tmpl w:val="90364472"/>
    <w:lvl w:ilvl="0" w:tentative="0">
      <w:start w:val="2"/>
      <w:numFmt w:val="decimal"/>
      <w:suff w:val="nothing"/>
      <w:lvlText w:val="%1、"/>
      <w:lvlJc w:val="left"/>
    </w:lvl>
  </w:abstractNum>
  <w:abstractNum w:abstractNumId="1">
    <w:nsid w:val="5C4C21CA"/>
    <w:multiLevelType w:val="multilevel"/>
    <w:tmpl w:val="5C4C21CA"/>
    <w:lvl w:ilvl="0" w:tentative="0">
      <w:start w:val="1"/>
      <w:numFmt w:val="chineseCountingThousand"/>
      <w:pStyle w:val="2"/>
      <w:suff w:val="nothing"/>
      <w:lvlText w:val="%1、"/>
      <w:lvlJc w:val="left"/>
      <w:pPr>
        <w:ind w:left="0" w:firstLine="0"/>
      </w:pPr>
      <w:rPr>
        <w:rFonts w:hint="eastAsia"/>
        <w:lang w:val="en-US"/>
      </w:rPr>
    </w:lvl>
    <w:lvl w:ilvl="1" w:tentative="0">
      <w:start w:val="1"/>
      <w:numFmt w:val="decimal"/>
      <w:pStyle w:val="3"/>
      <w:isLgl/>
      <w:suff w:val="nothing"/>
      <w:lvlText w:val="%1.%2、"/>
      <w:lvlJc w:val="left"/>
      <w:pPr>
        <w:ind w:left="0" w:firstLine="0"/>
      </w:pPr>
      <w:rPr>
        <w:rFonts w:hint="default" w:ascii="Times New Roman" w:hAnsi="Times New Roman" w:cs="Times New Roman"/>
        <w:color w:val="auto"/>
        <w:sz w:val="30"/>
        <w:szCs w:val="30"/>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default" w:ascii="Times New Roman" w:hAnsi="Times New Roman" w:eastAsia="宋体" w:cs="Times New Roman"/>
        <w:b w:val="0"/>
        <w:bCs w:val="0"/>
        <w:i w:val="0"/>
        <w:iCs w:val="0"/>
        <w:caps w:val="0"/>
        <w:smallCaps w:val="0"/>
        <w:strike w:val="0"/>
        <w:dstrike w:val="0"/>
        <w:snapToGrid w:val="0"/>
        <w:color w:val="000000"/>
        <w:spacing w:val="0"/>
        <w:w w:val="0"/>
        <w:kern w:val="0"/>
        <w:position w:val="0"/>
        <w:sz w:val="24"/>
        <w:szCs w:val="24"/>
        <w:u w:val="none"/>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yZmNhZmMwYTRkMzdjNDc0ZDBiODA4ZTNmNjg2YzYifQ=="/>
  </w:docVars>
  <w:rsids>
    <w:rsidRoot w:val="2D972986"/>
    <w:rsid w:val="00063C06"/>
    <w:rsid w:val="0009057A"/>
    <w:rsid w:val="000D05F4"/>
    <w:rsid w:val="001756A5"/>
    <w:rsid w:val="001A0859"/>
    <w:rsid w:val="002225F9"/>
    <w:rsid w:val="002561CD"/>
    <w:rsid w:val="002711C3"/>
    <w:rsid w:val="00295744"/>
    <w:rsid w:val="002B664C"/>
    <w:rsid w:val="003151A9"/>
    <w:rsid w:val="003E0AF8"/>
    <w:rsid w:val="004109A9"/>
    <w:rsid w:val="00421AFD"/>
    <w:rsid w:val="00473368"/>
    <w:rsid w:val="00480416"/>
    <w:rsid w:val="005B45A1"/>
    <w:rsid w:val="005C4A52"/>
    <w:rsid w:val="005F6D55"/>
    <w:rsid w:val="0061564A"/>
    <w:rsid w:val="0062297C"/>
    <w:rsid w:val="006401FB"/>
    <w:rsid w:val="006604EF"/>
    <w:rsid w:val="006A7ED1"/>
    <w:rsid w:val="006D5934"/>
    <w:rsid w:val="006F0AE3"/>
    <w:rsid w:val="007775FE"/>
    <w:rsid w:val="007C4534"/>
    <w:rsid w:val="007D5927"/>
    <w:rsid w:val="007F4767"/>
    <w:rsid w:val="00824348"/>
    <w:rsid w:val="00897D7E"/>
    <w:rsid w:val="009254A2"/>
    <w:rsid w:val="00935BAA"/>
    <w:rsid w:val="00956C12"/>
    <w:rsid w:val="00960EF3"/>
    <w:rsid w:val="00962B0F"/>
    <w:rsid w:val="00995D63"/>
    <w:rsid w:val="009D6A51"/>
    <w:rsid w:val="00A01B7D"/>
    <w:rsid w:val="00A3448A"/>
    <w:rsid w:val="00A525DC"/>
    <w:rsid w:val="00A821FB"/>
    <w:rsid w:val="00AD472D"/>
    <w:rsid w:val="00B023F5"/>
    <w:rsid w:val="00B0551A"/>
    <w:rsid w:val="00B444AC"/>
    <w:rsid w:val="00B64D50"/>
    <w:rsid w:val="00B7188D"/>
    <w:rsid w:val="00BA4CF5"/>
    <w:rsid w:val="00BF44DF"/>
    <w:rsid w:val="00C429A6"/>
    <w:rsid w:val="00C44303"/>
    <w:rsid w:val="00C63423"/>
    <w:rsid w:val="00C63D62"/>
    <w:rsid w:val="00C67BEC"/>
    <w:rsid w:val="00CA18FA"/>
    <w:rsid w:val="00CC0D04"/>
    <w:rsid w:val="00CD7072"/>
    <w:rsid w:val="00D109FE"/>
    <w:rsid w:val="00D11826"/>
    <w:rsid w:val="00D771A1"/>
    <w:rsid w:val="00DE713B"/>
    <w:rsid w:val="00DF041A"/>
    <w:rsid w:val="00DF2669"/>
    <w:rsid w:val="00E21465"/>
    <w:rsid w:val="00ED1909"/>
    <w:rsid w:val="00F51C71"/>
    <w:rsid w:val="00F82B7C"/>
    <w:rsid w:val="03C94238"/>
    <w:rsid w:val="0B1B584A"/>
    <w:rsid w:val="0D003464"/>
    <w:rsid w:val="0F8E47D8"/>
    <w:rsid w:val="17F51110"/>
    <w:rsid w:val="1EBD4792"/>
    <w:rsid w:val="24706621"/>
    <w:rsid w:val="256B3260"/>
    <w:rsid w:val="280942F6"/>
    <w:rsid w:val="2B4404F8"/>
    <w:rsid w:val="2BC340A3"/>
    <w:rsid w:val="2C9D5C03"/>
    <w:rsid w:val="2D972986"/>
    <w:rsid w:val="34F860CC"/>
    <w:rsid w:val="35DC2D74"/>
    <w:rsid w:val="3787340F"/>
    <w:rsid w:val="3BC7746B"/>
    <w:rsid w:val="3C2E62E4"/>
    <w:rsid w:val="40AE7F87"/>
    <w:rsid w:val="40F52D78"/>
    <w:rsid w:val="42000E5E"/>
    <w:rsid w:val="43877888"/>
    <w:rsid w:val="54837309"/>
    <w:rsid w:val="57BC345F"/>
    <w:rsid w:val="59242A94"/>
    <w:rsid w:val="59B409EB"/>
    <w:rsid w:val="5A57256A"/>
    <w:rsid w:val="5F5E6062"/>
    <w:rsid w:val="60794C2B"/>
    <w:rsid w:val="64D33DC2"/>
    <w:rsid w:val="696857DB"/>
    <w:rsid w:val="6FB947A5"/>
    <w:rsid w:val="70A4765D"/>
    <w:rsid w:val="75093708"/>
    <w:rsid w:val="799F1514"/>
    <w:rsid w:val="7B3526FC"/>
    <w:rsid w:val="7B472F6A"/>
    <w:rsid w:val="7D963011"/>
    <w:rsid w:val="7F042A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思源宋体 CN ExtraLight" w:cs="Times New Roman"/>
      <w:kern w:val="2"/>
      <w:sz w:val="21"/>
      <w:szCs w:val="24"/>
      <w:lang w:val="en-US" w:eastAsia="zh-CN" w:bidi="ar-SA"/>
    </w:rPr>
  </w:style>
  <w:style w:type="paragraph" w:styleId="2">
    <w:name w:val="heading 1"/>
    <w:basedOn w:val="1"/>
    <w:next w:val="1"/>
    <w:link w:val="18"/>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link w:val="19"/>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link w:val="20"/>
    <w:qFormat/>
    <w:uiPriority w:val="0"/>
    <w:pPr>
      <w:keepNext/>
      <w:keepLines/>
      <w:numPr>
        <w:ilvl w:val="2"/>
        <w:numId w:val="1"/>
      </w:numPr>
      <w:tabs>
        <w:tab w:val="left" w:pos="567"/>
      </w:tabs>
      <w:spacing w:before="120" w:after="120"/>
      <w:ind w:firstLineChars="0"/>
      <w:jc w:val="both"/>
      <w:outlineLvl w:val="2"/>
    </w:pPr>
    <w:rPr>
      <w:b/>
      <w:bCs/>
      <w:sz w:val="28"/>
      <w:szCs w:val="18"/>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szCs w:val="24"/>
      <w:lang w:val="zh-CN" w:eastAsia="zh-CN" w:bidi="zh-CN"/>
    </w:rPr>
  </w:style>
  <w:style w:type="paragraph" w:styleId="6">
    <w:name w:val="toc 3"/>
    <w:basedOn w:val="1"/>
    <w:next w:val="1"/>
    <w:qFormat/>
    <w:uiPriority w:val="39"/>
    <w:pPr>
      <w:ind w:left="840" w:leftChars="400"/>
    </w:p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basedOn w:val="12"/>
    <w:qFormat/>
    <w:uiPriority w:val="99"/>
    <w:rPr>
      <w:color w:val="0563C1" w:themeColor="hyperlink"/>
      <w:u w:val="single"/>
      <w14:textFill>
        <w14:solidFill>
          <w14:schemeClr w14:val="hlink"/>
        </w14:solidFill>
      </w14:textFill>
    </w:rPr>
  </w:style>
  <w:style w:type="paragraph" w:customStyle="1" w:styleId="14">
    <w:name w:val="1"/>
    <w:basedOn w:val="1"/>
    <w:qFormat/>
    <w:uiPriority w:val="0"/>
    <w:pPr>
      <w:ind w:firstLine="0" w:firstLineChars="0"/>
    </w:pPr>
  </w:style>
  <w:style w:type="paragraph" w:customStyle="1" w:styleId="15">
    <w:name w:val="样式1"/>
    <w:basedOn w:val="1"/>
    <w:qFormat/>
    <w:uiPriority w:val="0"/>
    <w:pPr>
      <w:spacing w:line="300" w:lineRule="auto"/>
      <w:ind w:firstLine="480"/>
    </w:pPr>
    <w:rPr>
      <w:sz w:val="24"/>
    </w:rPr>
  </w:style>
  <w:style w:type="paragraph" w:styleId="16">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17">
    <w:name w:val="Indent Normal"/>
    <w:basedOn w:val="1"/>
    <w:qFormat/>
    <w:uiPriority w:val="0"/>
    <w:pPr>
      <w:ind w:firstLine="150" w:firstLineChars="150"/>
    </w:pPr>
    <w:rPr>
      <w:sz w:val="24"/>
    </w:rPr>
  </w:style>
  <w:style w:type="character" w:customStyle="1" w:styleId="18">
    <w:name w:val="标题 1 字符"/>
    <w:basedOn w:val="12"/>
    <w:link w:val="2"/>
    <w:qFormat/>
    <w:uiPriority w:val="0"/>
    <w:rPr>
      <w:rFonts w:eastAsia="思源宋体 CN ExtraLight"/>
      <w:b/>
      <w:bCs/>
      <w:kern w:val="44"/>
      <w:sz w:val="32"/>
      <w:szCs w:val="28"/>
    </w:rPr>
  </w:style>
  <w:style w:type="character" w:customStyle="1" w:styleId="19">
    <w:name w:val="标题 2 字符"/>
    <w:basedOn w:val="12"/>
    <w:link w:val="3"/>
    <w:qFormat/>
    <w:uiPriority w:val="0"/>
    <w:rPr>
      <w:rFonts w:eastAsia="思源宋体 CN ExtraLight"/>
      <w:b/>
      <w:bCs/>
      <w:kern w:val="2"/>
      <w:sz w:val="30"/>
      <w:szCs w:val="32"/>
    </w:rPr>
  </w:style>
  <w:style w:type="character" w:customStyle="1" w:styleId="20">
    <w:name w:val="标题 3 字符"/>
    <w:basedOn w:val="12"/>
    <w:link w:val="4"/>
    <w:qFormat/>
    <w:uiPriority w:val="0"/>
    <w:rPr>
      <w:rFonts w:eastAsia="思源宋体 CN ExtraLight"/>
      <w:b/>
      <w:bCs/>
      <w:kern w:val="2"/>
      <w:sz w:val="28"/>
      <w:szCs w:val="18"/>
    </w:rPr>
  </w:style>
  <w:style w:type="character" w:customStyle="1" w:styleId="21">
    <w:name w:val="Unresolved Mention"/>
    <w:basedOn w:val="12"/>
    <w:semiHidden/>
    <w:unhideWhenUsed/>
    <w:qFormat/>
    <w:uiPriority w:val="99"/>
    <w:rPr>
      <w:color w:val="605E5C"/>
      <w:shd w:val="clear" w:color="auto" w:fill="E1DFDD"/>
    </w:rPr>
  </w:style>
  <w:style w:type="paragraph" w:styleId="22">
    <w:name w:val="List Paragraph"/>
    <w:basedOn w:val="1"/>
    <w:autoRedefine/>
    <w:qFormat/>
    <w:uiPriority w:val="1"/>
    <w:pPr>
      <w:spacing w:before="1"/>
      <w:ind w:left="120" w:firstLine="480"/>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3009</Words>
  <Characters>3146</Characters>
  <Lines>23</Lines>
  <Paragraphs>6</Paragraphs>
  <TotalTime>9</TotalTime>
  <ScaleCrop>false</ScaleCrop>
  <LinksUpToDate>false</LinksUpToDate>
  <CharactersWithSpaces>3228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2019-03-25T02:41:00Z</dcterms:created>
  <dc:creator>GKB2900</dc:creator>
  <cp:lastModifiedBy>张丽娜</cp:lastModifiedBy>
  <dcterms:modified xsi:type="dcterms:W3CDTF">2024-11-20T11:37:44Z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D44CAD49D7484AAE9A2234FEF794A5D1_13</vt:lpwstr>
  </property>
</Properties>
</file>