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A7E8B9">
      <w:pPr>
        <w:jc w:val="center"/>
      </w:pPr>
      <w:r>
        <w:rPr>
          <w:rFonts w:hint="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974725</wp:posOffset>
            </wp:positionH>
            <wp:positionV relativeFrom="paragraph">
              <wp:posOffset>-303530</wp:posOffset>
            </wp:positionV>
            <wp:extent cx="3466465" cy="1764030"/>
            <wp:effectExtent l="0" t="0" r="8255" b="3810"/>
            <wp:wrapSquare wrapText="bothSides"/>
            <wp:docPr id="19" name="图片 2" descr="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2" descr="小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66465" cy="1764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E97BEA5"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</w:rPr>
        <mc:AlternateContent>
          <mc:Choice Requires="wpc">
            <w:drawing>
              <wp:inline distT="0" distB="0" distL="114300" distR="114300">
                <wp:extent cx="5574665" cy="3352800"/>
                <wp:effectExtent l="0" t="0" r="0" b="0"/>
                <wp:docPr id="17" name="画布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" name="文本框 4"/>
                        <wps:cNvSpPr txBox="1"/>
                        <wps:spPr>
                          <a:xfrm>
                            <a:off x="0" y="2869586"/>
                            <a:ext cx="5316857" cy="261608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9546767">
                              <w:pPr>
                                <w:spacing w:before="120" w:after="120"/>
                              </w:pPr>
                            </w:p>
                          </w:txbxContent>
                        </wps:txbx>
                        <wps:bodyPr upright="1"/>
                      </wps:wsp>
                      <wps:wsp>
                        <wps:cNvPr id="15" name="文本框 15"/>
                        <wps:cNvSpPr txBox="1"/>
                        <wps:spPr>
                          <a:xfrm>
                            <a:off x="80002" y="1082632"/>
                            <a:ext cx="4455832" cy="1057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2F91FDB">
                              <w:pPr>
                                <w:ind w:firstLine="560"/>
                                <w:jc w:val="center"/>
                                <w:rPr>
                                  <w:rFonts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 w:val="28"/>
                                  <w:szCs w:val="28"/>
                                </w:rPr>
                                <w:t>国泰新点软件股份有限公司</w:t>
                              </w:r>
                            </w:p>
                            <w:p w14:paraId="3A47F418">
                              <w:pPr>
                                <w:jc w:val="center"/>
                                <w:rPr>
                                  <w:rFonts w:ascii="思源宋体 CN" w:hAnsi="思源宋体 CN" w:eastAsia="思源宋体 CN" w:cs="思源宋体 CN"/>
                                  <w:b/>
                                  <w:color w:val="0000FF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  <w:t>地址：张家港市杨舍镇江帆路8号</w:t>
                              </w: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b/>
                                  <w:color w:val="0000FF"/>
                                  <w:szCs w:val="21"/>
                                </w:rPr>
                                <w:t>(http://www.epoint.com.cn)</w:t>
                              </w:r>
                            </w:p>
                            <w:p w14:paraId="756C06E5">
                              <w:pPr>
                                <w:jc w:val="center"/>
                                <w:rPr>
                                  <w:rFonts w:ascii="思源宋体 CN" w:hAnsi="思源宋体 CN" w:eastAsia="思源宋体 CN" w:cs="思源宋体 CN"/>
                                  <w:szCs w:val="21"/>
                                </w:rPr>
                              </w:pPr>
                              <w:r>
                                <w:rPr>
                                  <w:rFonts w:hint="eastAsia" w:ascii="思源宋体 CN" w:hAnsi="思源宋体 CN" w:eastAsia="思源宋体 CN" w:cs="思源宋体 CN"/>
                                  <w:szCs w:val="21"/>
                                </w:rPr>
                                <w:t>电话：0512-58188000传真：0512-58132373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c:wpc>
                  </a:graphicData>
                </a:graphic>
              </wp:inline>
            </w:drawing>
          </mc:Choice>
          <mc:Fallback>
            <w:pict>
              <v:group id="_x0000_s1026" o:spid="_x0000_s1026" o:spt="203" style="height:264pt;width:438.95pt;" coordsize="5574665,3352800" editas="canvas" o:gfxdata="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">
                <o:lock v:ext="edit" aspectratio="f"/>
                <v:shape id="_x0000_s1026" o:spid="_x0000_s1026" style="position:absolute;left:0;top:0;height:3352800;width:5574665;" filled="f" stroked="f" coordsize="21600,21600" o:gfxdata="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">
                  <v:fill on="f" focussize="0,0"/>
                  <v:stroke on="f"/>
                  <v:imagedata o:title=""/>
                  <o:lock v:ext="edit" aspectratio="t"/>
                </v:shape>
                <v:shape id="_x0000_s1026" o:spid="_x0000_s1026" o:spt="202" type="#_x0000_t202" style="position:absolute;left:0;top:2869586;height:261608;width:5316857;" fillcolor="#C0C0C0" filled="t" stroked="f" coordsize="21600,21600" o:gfxdata="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YsMSUNQAAAAFAQAADwAAAAAAAAABACAAAAAiAAAAZHJzL2Rvd25y&#10;ZXYueG1sUEsBAhQAFAAAAAgAh07iQMTNTfzJAQAAfQMAAA4AAAAAAAAAAQAgAAAAIwEAAGRycy9l&#10;Mm9Eb2MueG1sUEsFBgAAAAAGAAYAWQEAAF4FAAAAAA==&#10;">
                  <v:fill on="t" focussize="0,0"/>
                  <v:stroke on="f"/>
                  <v:imagedata o:title=""/>
                  <o:lock v:ext="edit" aspectratio="f"/>
                  <v:textbox>
                    <w:txbxContent>
                      <w:p w14:paraId="39546767">
                        <w:pPr>
                          <w:spacing w:before="120" w:after="120"/>
                        </w:pPr>
                      </w:p>
                    </w:txbxContent>
                  </v:textbox>
                </v:shape>
                <v:shape id="_x0000_s1026" o:spid="_x0000_s1026" o:spt="202" type="#_x0000_t202" style="position:absolute;left:80002;top:1082632;height:1057232;width:4455832;" filled="f" stroked="f" coordsize="21600,21600" o:gfxdata="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rax1T1gAAAAUBAAAPAAAAAAAAAAEAIAAAACIAAABkcnMvZG93bnJldi54&#10;bWxQSwECFAAUAAAACACHTuJAb2TNM8MBAAB/AwAADgAAAAAAAAABACAAAAAlAQAAZHJzL2Uyb0Rv&#10;Yy54bWxQSwUGAAAAAAYABgBZAQAAWgU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2F91FDB">
                        <w:pPr>
                          <w:ind w:firstLine="560"/>
                          <w:jc w:val="center"/>
                          <w:rPr>
                            <w:rFonts w:ascii="思源宋体 CN" w:hAnsi="思源宋体 CN" w:eastAsia="思源宋体 CN" w:cs="思源宋体 CN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 w:val="28"/>
                            <w:szCs w:val="28"/>
                          </w:rPr>
                          <w:t>国泰新点软件股份有限公司</w:t>
                        </w:r>
                      </w:p>
                      <w:p w14:paraId="3A47F418">
                        <w:pPr>
                          <w:jc w:val="center"/>
                          <w:rPr>
                            <w:rFonts w:ascii="思源宋体 CN" w:hAnsi="思源宋体 CN" w:eastAsia="思源宋体 CN" w:cs="思源宋体 CN"/>
                            <w:b/>
                            <w:color w:val="0000FF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  <w:t>地址：张家港市杨舍镇江帆路8号</w:t>
                        </w:r>
                        <w:r>
                          <w:rPr>
                            <w:rFonts w:hint="eastAsia" w:ascii="思源宋体 CN" w:hAnsi="思源宋体 CN" w:eastAsia="思源宋体 CN" w:cs="思源宋体 CN"/>
                            <w:b/>
                            <w:color w:val="0000FF"/>
                            <w:szCs w:val="21"/>
                          </w:rPr>
                          <w:t>(http://www.epoint.com.cn)</w:t>
                        </w:r>
                      </w:p>
                      <w:p w14:paraId="756C06E5">
                        <w:pPr>
                          <w:jc w:val="center"/>
                          <w:rPr>
                            <w:rFonts w:ascii="思源宋体 CN" w:hAnsi="思源宋体 CN" w:eastAsia="思源宋体 CN" w:cs="思源宋体 CN"/>
                            <w:szCs w:val="21"/>
                          </w:rPr>
                        </w:pPr>
                        <w:r>
                          <w:rPr>
                            <w:rFonts w:hint="eastAsia" w:ascii="思源宋体 CN" w:hAnsi="思源宋体 CN" w:eastAsia="思源宋体 CN" w:cs="思源宋体 CN"/>
                            <w:szCs w:val="21"/>
                          </w:rPr>
                          <w:t>电话：0512-58188000传真：0512-58132373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 w14:paraId="4E79BE0C"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2F7CA0D0"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5B3205DB"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2917888A">
      <w:pPr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79CA5525"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  <w:lang w:val="en-US" w:eastAsia="zh-CN"/>
        </w:rPr>
        <w:t>陕西省</w:t>
      </w:r>
      <w:r>
        <w:rPr>
          <w:rFonts w:hint="eastAsia"/>
          <w:b/>
          <w:sz w:val="52"/>
          <w:szCs w:val="52"/>
        </w:rPr>
        <w:t>用能权交易平台</w:t>
      </w:r>
    </w:p>
    <w:p w14:paraId="06C58940">
      <w:pPr>
        <w:ind w:firstLine="0" w:firstLineChars="0"/>
        <w:jc w:val="center"/>
        <w:rPr>
          <w:b/>
          <w:sz w:val="52"/>
          <w:szCs w:val="52"/>
        </w:rPr>
      </w:pPr>
      <w:r>
        <w:rPr>
          <w:rFonts w:hint="eastAsia"/>
          <w:b/>
          <w:sz w:val="52"/>
          <w:szCs w:val="52"/>
          <w:lang w:val="en-US" w:eastAsia="zh-CN"/>
        </w:rPr>
        <w:t>管理端</w:t>
      </w:r>
      <w:r>
        <w:rPr>
          <w:rFonts w:hint="eastAsia"/>
          <w:b/>
          <w:sz w:val="52"/>
          <w:szCs w:val="52"/>
        </w:rPr>
        <w:t>操作手册</w:t>
      </w:r>
    </w:p>
    <w:p w14:paraId="632F1A70">
      <w:pPr>
        <w:pStyle w:val="18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211631C0">
      <w:pPr>
        <w:pStyle w:val="18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B7F5E47">
      <w:pPr>
        <w:pStyle w:val="18"/>
        <w:ind w:firstLine="36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1050A73B">
      <w:pPr>
        <w:pStyle w:val="18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012C4965">
      <w:pPr>
        <w:pStyle w:val="18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1B085BB2">
      <w:pPr>
        <w:pStyle w:val="18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2AB27164">
      <w:pPr>
        <w:pStyle w:val="18"/>
        <w:ind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1AB4D160">
      <w:pPr>
        <w:ind w:firstLine="0" w:firstLineChars="0"/>
        <w:jc w:val="both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</w:p>
    <w:p w14:paraId="25D10902">
      <w:pPr>
        <w:ind w:firstLine="0" w:firstLineChars="0"/>
        <w:jc w:val="center"/>
        <w:rPr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:spacing w:val="200"/>
          <w:sz w:val="32"/>
          <w14:textFill>
            <w14:solidFill>
              <w14:schemeClr w14:val="tx1"/>
            </w14:solidFill>
          </w14:textFill>
        </w:rPr>
        <w:t>目录</w:t>
      </w:r>
    </w:p>
    <w:p w14:paraId="72BD6254">
      <w:pPr>
        <w:pStyle w:val="11"/>
        <w:tabs>
          <w:tab w:val="right" w:leader="dot" w:pos="8312"/>
        </w:tabs>
      </w:pPr>
      <w:r>
        <w:rPr>
          <w:rFonts w:asciiTheme="minorHAnsi" w:hAnsiTheme="minorHAnsi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/>
          <w:color w:val="000000" w:themeColor="text1"/>
          <w14:textFill>
            <w14:solidFill>
              <w14:schemeClr w14:val="tx1"/>
            </w14:solidFill>
          </w14:textFill>
        </w:rPr>
        <w:instrText xml:space="preserve"> TOC \o "4-5" \h \z \t "标题 1,1,标题 2,2,标题 3,3" </w:instrText>
      </w:r>
      <w:r>
        <w:rPr>
          <w:rFonts w:asciiTheme="minorHAnsi" w:hAnsiTheme="minorHAnsi"/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Fonts w:asciiTheme="minorHAnsi" w:hAnsiTheme="minorHAnsi"/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/>
        </w:rPr>
        <w:instrText xml:space="preserve"> HYPERLINK \l _Toc16777 </w:instrText>
      </w:r>
      <w:r>
        <w:rPr>
          <w:rFonts w:asciiTheme="minorHAnsi" w:hAnsiTheme="minorHAnsi"/>
        </w:rPr>
        <w:fldChar w:fldCharType="separate"/>
      </w:r>
      <w:r>
        <w:rPr>
          <w:rFonts w:hint="eastAsia"/>
        </w:rPr>
        <w:t>一、 用能权交易</w:t>
      </w:r>
      <w:r>
        <w:tab/>
      </w:r>
      <w:r>
        <w:fldChar w:fldCharType="begin"/>
      </w:r>
      <w:r>
        <w:instrText xml:space="preserve"> PAGEREF _Toc16777 \h </w:instrText>
      </w:r>
      <w:r>
        <w:fldChar w:fldCharType="separate"/>
      </w:r>
      <w:r>
        <w:t>4</w:t>
      </w:r>
      <w:r>
        <w:fldChar w:fldCharType="end"/>
      </w:r>
      <w:r>
        <w:rPr>
          <w:rFonts w:asciiTheme="minorHAnsi" w:hAnsiTheme="minorHAnsi"/>
          <w:color w:val="000000" w:themeColor="text1"/>
          <w14:textFill>
            <w14:solidFill>
              <w14:schemeClr w14:val="tx1"/>
            </w14:solidFill>
          </w14:textFill>
        </w:rPr>
        <w:fldChar w:fldCharType="end"/>
      </w:r>
    </w:p>
    <w:p w14:paraId="1253123D">
      <w:pPr>
        <w:pStyle w:val="13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_Toc17775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</w:rPr>
        <w:t xml:space="preserve">1.1、 </w:t>
      </w:r>
      <w:r>
        <w:rPr>
          <w:rFonts w:hint="eastAsia"/>
        </w:rPr>
        <w:t>平台入口</w:t>
      </w:r>
      <w:r>
        <w:tab/>
      </w:r>
      <w:r>
        <w:fldChar w:fldCharType="begin"/>
      </w:r>
      <w:r>
        <w:instrText xml:space="preserve"> PAGEREF _Toc17775 \h </w:instrText>
      </w:r>
      <w:r>
        <w:fldChar w:fldCharType="separate"/>
      </w:r>
      <w:r>
        <w:t>4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 w14:paraId="3D4BD176">
      <w:pPr>
        <w:pStyle w:val="13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_Toc9871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</w:rPr>
        <w:t xml:space="preserve">1.2、 </w:t>
      </w:r>
      <w:r>
        <w:rPr>
          <w:rFonts w:hint="eastAsia"/>
        </w:rPr>
        <w:t>用能权交易管理</w:t>
      </w:r>
      <w:r>
        <w:tab/>
      </w:r>
      <w:r>
        <w:fldChar w:fldCharType="begin"/>
      </w:r>
      <w:r>
        <w:instrText xml:space="preserve"> PAGEREF _Toc9871 \h </w:instrText>
      </w:r>
      <w:r>
        <w:fldChar w:fldCharType="separate"/>
      </w:r>
      <w:r>
        <w:t>5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 w14:paraId="0699EA89">
      <w:pPr>
        <w:pStyle w:val="8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_Toc3881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1.2.1、 </w:t>
      </w:r>
      <w:r>
        <w:rPr>
          <w:rFonts w:hint="eastAsia"/>
        </w:rPr>
        <w:t>下发交易指标</w:t>
      </w:r>
      <w:r>
        <w:tab/>
      </w:r>
      <w:r>
        <w:fldChar w:fldCharType="begin"/>
      </w:r>
      <w:r>
        <w:instrText xml:space="preserve"> PAGEREF _Toc3881 \h </w:instrText>
      </w:r>
      <w:r>
        <w:fldChar w:fldCharType="separate"/>
      </w:r>
      <w:r>
        <w:t>5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 w14:paraId="3DD427E7">
      <w:pPr>
        <w:pStyle w:val="8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_Toc31259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1.2.2、 </w:t>
      </w:r>
      <w:r>
        <w:rPr>
          <w:rFonts w:hint="eastAsia"/>
          <w:lang w:val="en-US" w:eastAsia="zh-CN"/>
        </w:rPr>
        <w:t>查看</w:t>
      </w:r>
      <w:r>
        <w:rPr>
          <w:rFonts w:hint="eastAsia"/>
        </w:rPr>
        <w:t>交易公告</w:t>
      </w:r>
      <w:r>
        <w:tab/>
      </w:r>
      <w:r>
        <w:fldChar w:fldCharType="begin"/>
      </w:r>
      <w:r>
        <w:instrText xml:space="preserve"> PAGEREF _Toc31259 \h </w:instrText>
      </w:r>
      <w:r>
        <w:fldChar w:fldCharType="separate"/>
      </w:r>
      <w:r>
        <w:t>7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 w14:paraId="65DD4C9F">
      <w:pPr>
        <w:pStyle w:val="8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_Toc12532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1.2.3、 </w:t>
      </w:r>
      <w:r>
        <w:rPr>
          <w:rFonts w:hint="eastAsia"/>
        </w:rPr>
        <w:t>申购申请</w:t>
      </w:r>
      <w:r>
        <w:rPr>
          <w:rFonts w:hint="eastAsia"/>
          <w:lang w:val="en-US" w:eastAsia="zh-CN"/>
        </w:rPr>
        <w:t>查看</w:t>
      </w:r>
      <w:r>
        <w:tab/>
      </w:r>
      <w:r>
        <w:fldChar w:fldCharType="begin"/>
      </w:r>
      <w:r>
        <w:instrText xml:space="preserve"> PAGEREF _Toc12532 \h </w:instrText>
      </w:r>
      <w:r>
        <w:fldChar w:fldCharType="separate"/>
      </w:r>
      <w:r>
        <w:t>8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 w14:paraId="1F8ADFED">
      <w:pPr>
        <w:pStyle w:val="8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_Toc19385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1.2.4、 </w:t>
      </w:r>
      <w:r>
        <w:rPr>
          <w:rFonts w:hint="eastAsia"/>
        </w:rPr>
        <w:t>成交公示</w:t>
      </w:r>
      <w:r>
        <w:rPr>
          <w:rFonts w:hint="eastAsia"/>
          <w:lang w:val="en-US" w:eastAsia="zh-CN"/>
        </w:rPr>
        <w:t>查看</w:t>
      </w:r>
      <w:r>
        <w:tab/>
      </w:r>
      <w:r>
        <w:fldChar w:fldCharType="begin"/>
      </w:r>
      <w:r>
        <w:instrText xml:space="preserve"> PAGEREF _Toc19385 \h </w:instrText>
      </w:r>
      <w:r>
        <w:fldChar w:fldCharType="separate"/>
      </w:r>
      <w:r>
        <w:t>9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 w14:paraId="6D93C69F">
      <w:pPr>
        <w:pStyle w:val="8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_Toc8952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1.2.5、 </w:t>
      </w:r>
      <w:r>
        <w:rPr>
          <w:rFonts w:hint="eastAsia"/>
        </w:rPr>
        <w:t>合同审核</w:t>
      </w:r>
      <w:r>
        <w:tab/>
      </w:r>
      <w:r>
        <w:fldChar w:fldCharType="begin"/>
      </w:r>
      <w:r>
        <w:instrText xml:space="preserve"> PAGEREF _Toc8952 \h </w:instrText>
      </w:r>
      <w:r>
        <w:fldChar w:fldCharType="separate"/>
      </w:r>
      <w:r>
        <w:t>10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 w14:paraId="6AB048B9">
      <w:pPr>
        <w:pStyle w:val="8"/>
        <w:tabs>
          <w:tab w:val="right" w:leader="dot" w:pos="8312"/>
        </w:tabs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begin"/>
      </w:r>
      <w:r>
        <w:rPr>
          <w:rFonts w:asciiTheme="minorHAnsi" w:hAnsiTheme="minorHAnsi" w:cstheme="minorHAnsi"/>
          <w:szCs w:val="20"/>
        </w:rPr>
        <w:instrText xml:space="preserve"> HYPERLINK \l _Toc32504 </w:instrText>
      </w:r>
      <w:r>
        <w:rPr>
          <w:rFonts w:asciiTheme="minorHAnsi" w:hAnsiTheme="minorHAnsi" w:cstheme="minorHAnsi"/>
          <w:szCs w:val="20"/>
        </w:rPr>
        <w:fldChar w:fldCharType="separate"/>
      </w:r>
      <w:r>
        <w:rPr>
          <w:rFonts w:hint="default" w:ascii="Times New Roman" w:hAnsi="Times New Roman" w:cs="Times New Roman"/>
          <w:bCs w:val="0"/>
          <w:i w:val="0"/>
          <w:iCs w:val="0"/>
          <w:caps w:val="0"/>
          <w:smallCaps w:val="0"/>
          <w:strike w:val="0"/>
          <w:dstrike w:val="0"/>
          <w:vanish w:val="0"/>
          <w:spacing w:val="0"/>
          <w:position w:val="0"/>
          <w:vertAlign w:val="baseline"/>
        </w:rPr>
        <w:t xml:space="preserve">1.2.6、 </w:t>
      </w:r>
      <w:r>
        <w:rPr>
          <w:rFonts w:hint="eastAsia"/>
        </w:rPr>
        <w:t>资金划转情况确认</w:t>
      </w:r>
      <w:r>
        <w:tab/>
      </w:r>
      <w:r>
        <w:fldChar w:fldCharType="begin"/>
      </w:r>
      <w:r>
        <w:instrText xml:space="preserve"> PAGEREF _Toc32504 \h </w:instrText>
      </w:r>
      <w:r>
        <w:fldChar w:fldCharType="separate"/>
      </w:r>
      <w:r>
        <w:t>11</w:t>
      </w:r>
      <w:r>
        <w:fldChar w:fldCharType="end"/>
      </w: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 w14:paraId="6DE60CCB">
      <w:pPr>
        <w:pStyle w:val="18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  <w:r>
        <w:rPr>
          <w:rFonts w:asciiTheme="minorHAnsi" w:hAnsiTheme="minorHAnsi" w:cstheme="minorHAnsi"/>
          <w:color w:val="000000" w:themeColor="text1"/>
          <w:szCs w:val="20"/>
          <w14:textFill>
            <w14:solidFill>
              <w14:schemeClr w14:val="tx1"/>
            </w14:solidFill>
          </w14:textFill>
        </w:rPr>
        <w:fldChar w:fldCharType="end"/>
      </w:r>
    </w:p>
    <w:p w14:paraId="2D85AFAC">
      <w:pPr>
        <w:pStyle w:val="18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 w14:paraId="7CB130EC">
      <w:pPr>
        <w:pStyle w:val="18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 w14:paraId="34AECCF7">
      <w:pPr>
        <w:pStyle w:val="18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 w14:paraId="30F9E3B1">
      <w:pPr>
        <w:pStyle w:val="18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 w14:paraId="7DA0CD78">
      <w:pPr>
        <w:pStyle w:val="19"/>
        <w:ind w:firstLine="0" w:firstLineChars="0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 w14:paraId="1CF7826F">
      <w:pPr>
        <w:pStyle w:val="19"/>
        <w:ind w:firstLine="0" w:firstLineChars="0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 w14:paraId="5E53B051">
      <w:pPr>
        <w:pStyle w:val="19"/>
        <w:ind w:firstLine="0" w:firstLineChars="0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 w14:paraId="4BA00504">
      <w:pPr>
        <w:pStyle w:val="19"/>
        <w:ind w:firstLine="0" w:firstLineChars="0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 w14:paraId="54ED5261">
      <w:pPr>
        <w:pStyle w:val="19"/>
        <w:ind w:firstLine="0" w:firstLineChars="0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 w14:paraId="1490024C">
      <w:pPr>
        <w:pStyle w:val="19"/>
        <w:ind w:firstLine="0" w:firstLineChars="0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 w14:paraId="73B4D474">
      <w:pPr>
        <w:pStyle w:val="19"/>
        <w:ind w:firstLine="0" w:firstLineChars="0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</w:p>
    <w:p w14:paraId="666A7842">
      <w:pPr>
        <w:widowControl/>
        <w:spacing w:line="240" w:lineRule="auto"/>
        <w:ind w:firstLine="0" w:firstLineChars="0"/>
        <w:rPr>
          <w:rFonts w:ascii="思源宋体 CN ExtraLight" w:hAnsi="思源宋体 CN ExtraLight" w:cs="思源宋体 CN ExtraLight"/>
          <w:b/>
          <w:color w:val="000000" w:themeColor="text1"/>
          <w:sz w:val="24"/>
          <w14:textFill>
            <w14:solidFill>
              <w14:schemeClr w14:val="tx1"/>
            </w14:solidFill>
          </w14:textFill>
        </w:rPr>
      </w:pPr>
      <w:r>
        <w:rPr>
          <w:rFonts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br w:type="page"/>
      </w:r>
    </w:p>
    <w:p w14:paraId="7B4764D7">
      <w:pPr>
        <w:pStyle w:val="19"/>
        <w:ind w:firstLine="0" w:firstLineChars="0"/>
        <w:rPr>
          <w:rFonts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思源宋体 CN ExtraLight" w:hAnsi="思源宋体 CN ExtraLight" w:cs="思源宋体 CN ExtraLight"/>
          <w:b/>
          <w:color w:val="000000" w:themeColor="text1"/>
          <w14:textFill>
            <w14:solidFill>
              <w14:schemeClr w14:val="tx1"/>
            </w14:solidFill>
          </w14:textFill>
        </w:rPr>
        <w:t>修订记录</w:t>
      </w:r>
    </w:p>
    <w:tbl>
      <w:tblPr>
        <w:tblStyle w:val="14"/>
        <w:tblW w:w="8285" w:type="dxa"/>
        <w:tblInd w:w="1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85"/>
        <w:gridCol w:w="1472"/>
        <w:gridCol w:w="3118"/>
        <w:gridCol w:w="851"/>
        <w:gridCol w:w="1759"/>
      </w:tblGrid>
      <w:tr w14:paraId="395FEE3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1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CF4924C">
            <w:pPr>
              <w:pStyle w:val="20"/>
              <w:jc w:val="center"/>
              <w:rPr>
                <w:rFonts w:ascii="思源宋体 CN ExtraLight" w:hAnsi="思源宋体 CN ExtraLight" w:eastAsia="思源宋体 CN ExtraLight" w:cs="思源宋体 CN ExtraLight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版本</w:t>
            </w:r>
          </w:p>
        </w:tc>
        <w:tc>
          <w:tcPr>
            <w:tcW w:w="147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4D9D7A19">
            <w:pPr>
              <w:pStyle w:val="20"/>
              <w:jc w:val="center"/>
              <w:rPr>
                <w:rFonts w:ascii="思源宋体 CN ExtraLight" w:hAnsi="思源宋体 CN ExtraLight" w:eastAsia="思源宋体 CN ExtraLight" w:cs="思源宋体 CN ExtraLight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修改日期</w:t>
            </w:r>
          </w:p>
        </w:tc>
        <w:tc>
          <w:tcPr>
            <w:tcW w:w="31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D62011A">
            <w:pPr>
              <w:pStyle w:val="20"/>
              <w:jc w:val="center"/>
              <w:rPr>
                <w:rFonts w:ascii="思源宋体 CN ExtraLight" w:hAnsi="思源宋体 CN ExtraLight" w:eastAsia="思源宋体 CN ExtraLight" w:cs="思源宋体 CN ExtraLight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修改内容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3D10B21">
            <w:pPr>
              <w:pStyle w:val="20"/>
              <w:jc w:val="center"/>
              <w:rPr>
                <w:rFonts w:ascii="思源宋体 CN ExtraLight" w:hAnsi="思源宋体 CN ExtraLight" w:eastAsia="思源宋体 CN ExtraLight" w:cs="思源宋体 CN ExtraLight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修改人</w:t>
            </w:r>
          </w:p>
        </w:tc>
        <w:tc>
          <w:tcPr>
            <w:tcW w:w="17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5A4ABCF">
            <w:pPr>
              <w:pStyle w:val="20"/>
              <w:jc w:val="center"/>
              <w:rPr>
                <w:rFonts w:ascii="思源宋体 CN ExtraLight" w:hAnsi="思源宋体 CN ExtraLight" w:eastAsia="思源宋体 CN ExtraLight" w:cs="思源宋体 CN ExtraLight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b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备注</w:t>
            </w:r>
          </w:p>
        </w:tc>
      </w:tr>
      <w:tr w14:paraId="45B296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431298">
            <w:pPr>
              <w:pStyle w:val="20"/>
              <w:jc w:val="center"/>
              <w:rPr>
                <w:rFonts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7.1.</w:t>
            </w:r>
            <w:r>
              <w:rPr>
                <w:rFonts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50</w:t>
            </w:r>
            <w: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.</w:t>
            </w:r>
            <w:r>
              <w:rPr>
                <w:rFonts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82D1DCC">
            <w:pPr>
              <w:pStyle w:val="20"/>
              <w:jc w:val="center"/>
              <w:rPr>
                <w:rFonts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202</w:t>
            </w:r>
            <w:r>
              <w:rPr>
                <w:rFonts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12</w:t>
            </w:r>
            <w: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5DCE704">
            <w:pPr>
              <w:pStyle w:val="20"/>
              <w:jc w:val="center"/>
              <w:rPr>
                <w:rFonts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编写操作手册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6973801">
            <w:pPr>
              <w:pStyle w:val="20"/>
              <w:jc w:val="center"/>
              <w:rPr>
                <w:rFonts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安俊超</w:t>
            </w: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4C5702">
            <w:pPr>
              <w:pStyle w:val="20"/>
              <w:jc w:val="center"/>
              <w:rPr>
                <w:rFonts w:ascii="思源宋体 CN ExtraLight" w:hAnsi="思源宋体 CN ExtraLight" w:eastAsia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 w14:paraId="3AE5A76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3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F499373">
            <w:pPr>
              <w:ind w:left="0" w:leftChars="0" w:firstLine="0" w:firstLineChars="0"/>
              <w:jc w:val="center"/>
              <w:rPr>
                <w:rFonts w:hint="default" w:ascii="思源宋体 CN ExtraLight" w:hAnsi="思源宋体 CN ExtraLight" w:eastAsia="思源宋体 CN ExtraLight" w:cs="思源宋体 CN ExtraLight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思源宋体 CN ExtraLight" w:hAnsi="思源宋体 CN ExtraLight" w:cs="思源宋体 CN ExtraLight"/>
                <w:lang w:val="en-US" w:eastAsia="zh-CN"/>
              </w:rPr>
              <w:t>7.1.50.2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74AAA85F">
            <w:pPr>
              <w:ind w:left="0" w:leftChars="0" w:firstLine="0" w:firstLineChars="0"/>
              <w:jc w:val="center"/>
              <w:rPr>
                <w:rFonts w:hint="default" w:ascii="思源宋体 CN ExtraLight" w:hAnsi="思源宋体 CN ExtraLight" w:eastAsia="思源宋体 CN ExtraLight" w:cs="思源宋体 CN ExtraLight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思源宋体 CN ExtraLight" w:hAnsi="思源宋体 CN ExtraLight" w:cs="思源宋体 CN ExtraLight"/>
                <w:lang w:val="en-US" w:eastAsia="zh-CN"/>
              </w:rPr>
              <w:t>2024-11-20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20A3F9E">
            <w:pPr>
              <w:ind w:left="0" w:leftChars="0" w:firstLine="0" w:firstLineChars="0"/>
              <w:jc w:val="left"/>
              <w:rPr>
                <w:rFonts w:hint="default" w:ascii="思源宋体 CN ExtraLight" w:hAnsi="思源宋体 CN ExtraLight" w:eastAsia="思源宋体 CN ExtraLight" w:cs="思源宋体 CN ExtraLight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思源宋体 CN ExtraLight" w:hAnsi="思源宋体 CN ExtraLight" w:cs="思源宋体 CN ExtraLight"/>
                <w:kern w:val="2"/>
                <w:sz w:val="21"/>
                <w:szCs w:val="24"/>
                <w:lang w:val="en-US" w:eastAsia="zh-CN" w:bidi="ar-SA"/>
              </w:rPr>
              <w:t>根据《陕西省用能权交易管理办法》更新相关系统功能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E377B05">
            <w:pPr>
              <w:ind w:left="0" w:leftChars="0" w:firstLine="0" w:firstLineChars="0"/>
              <w:rPr>
                <w:rFonts w:ascii="思源宋体 CN ExtraLight" w:hAnsi="思源宋体 CN ExtraLight" w:eastAsia="思源宋体 CN ExtraLight" w:cs="思源宋体 CN ExtraLight"/>
                <w:kern w:val="2"/>
                <w:sz w:val="21"/>
                <w:szCs w:val="24"/>
                <w:lang w:val="en-US" w:eastAsia="zh-CN" w:bidi="ar-SA"/>
              </w:rPr>
            </w:pPr>
            <w:r>
              <w:rPr>
                <w:rFonts w:hint="eastAsia" w:ascii="思源宋体 CN ExtraLight" w:hAnsi="思源宋体 CN ExtraLight" w:cs="思源宋体 CN ExtraLight"/>
                <w:lang w:val="en-US" w:eastAsia="zh-CN"/>
              </w:rPr>
              <w:t>袁金宝</w:t>
            </w:r>
            <w:r>
              <w:rPr>
                <w:rFonts w:hint="eastAsia" w:ascii="思源宋体 CN ExtraLight" w:hAnsi="思源宋体 CN ExtraLight" w:cs="思源宋体 CN ExtraLight"/>
              </w:rPr>
              <w:t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61775ADC">
            <w:pPr>
              <w:rPr>
                <w:rFonts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 w14:paraId="1A2F9F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0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1754E3F5">
            <w:pPr>
              <w:rPr>
                <w:rFonts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EB9DBF0">
            <w:pPr>
              <w:rPr>
                <w:rFonts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B3746ED">
            <w:pPr>
              <w:rPr>
                <w:rFonts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2A8C98B">
            <w:pPr>
              <w:rPr>
                <w:rFonts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0488C00">
            <w:pPr>
              <w:rPr>
                <w:rFonts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  <w:tr w14:paraId="43BB09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14" w:hRule="atLeast"/>
        </w:trPr>
        <w:tc>
          <w:tcPr>
            <w:tcW w:w="108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3012C7CE">
            <w:pPr>
              <w:rPr>
                <w:rFonts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B87EA20">
            <w:pPr>
              <w:rPr>
                <w:rFonts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3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082DA1A0">
            <w:pPr>
              <w:rPr>
                <w:rFonts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599E1BFD">
            <w:pPr>
              <w:rPr>
                <w:rFonts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  <w:tc>
          <w:tcPr>
            <w:tcW w:w="17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 w14:paraId="21A4A0D6">
            <w:pPr>
              <w:rPr>
                <w:rFonts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思源宋体 CN ExtraLight" w:hAnsi="思源宋体 CN ExtraLight" w:cs="思源宋体 CN ExtraLight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　</w:t>
            </w:r>
          </w:p>
        </w:tc>
      </w:tr>
    </w:tbl>
    <w:p w14:paraId="5FC889CB">
      <w:pPr>
        <w:pStyle w:val="18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 w14:paraId="7154FF78">
      <w:pPr>
        <w:pStyle w:val="18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 w14:paraId="64D986D1">
      <w:pPr>
        <w:pStyle w:val="18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 w14:paraId="0815F33F">
      <w:pPr>
        <w:pStyle w:val="18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 w14:paraId="4D2159E7">
      <w:pPr>
        <w:pStyle w:val="18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 w14:paraId="1382DE98">
      <w:pPr>
        <w:pStyle w:val="18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 w14:paraId="1EA2215F">
      <w:pPr>
        <w:pStyle w:val="18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 w14:paraId="4CE6FD2C">
      <w:pPr>
        <w:pStyle w:val="18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 w14:paraId="548B5BA6">
      <w:pPr>
        <w:pStyle w:val="18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 w14:paraId="0147C0E8">
      <w:pPr>
        <w:pStyle w:val="18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 w14:paraId="38C03057">
      <w:pPr>
        <w:pStyle w:val="18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 w14:paraId="400B4BF4">
      <w:pPr>
        <w:pStyle w:val="18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 w14:paraId="0C6DA67C">
      <w:pPr>
        <w:pStyle w:val="18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 w14:paraId="6598AA87">
      <w:pPr>
        <w:pStyle w:val="18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 w14:paraId="2CD2E1D3">
      <w:pPr>
        <w:pStyle w:val="18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 w14:paraId="312E1AE5">
      <w:pPr>
        <w:pStyle w:val="18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 w14:paraId="50CA825B">
      <w:pPr>
        <w:pStyle w:val="18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 w14:paraId="03F7BB9F">
      <w:pPr>
        <w:pStyle w:val="18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 w14:paraId="51E57F14">
      <w:pPr>
        <w:pStyle w:val="18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 w14:paraId="6C490492">
      <w:pPr>
        <w:pStyle w:val="18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 w14:paraId="48413ADE">
      <w:pPr>
        <w:pStyle w:val="18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 w14:paraId="097C2ACC">
      <w:pPr>
        <w:pStyle w:val="18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 w14:paraId="7B8286E8">
      <w:pPr>
        <w:pStyle w:val="18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 w14:paraId="597E7854">
      <w:pPr>
        <w:pStyle w:val="18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 w14:paraId="63DB06B4">
      <w:pPr>
        <w:pStyle w:val="18"/>
        <w:spacing w:line="240" w:lineRule="auto"/>
        <w:ind w:firstLine="0" w:firstLineChars="0"/>
        <w:rPr>
          <w:rFonts w:asciiTheme="minorHAnsi" w:hAnsiTheme="minorHAnsi" w:cstheme="minorHAnsi"/>
          <w:color w:val="000000" w:themeColor="text1"/>
          <w:sz w:val="21"/>
          <w:szCs w:val="20"/>
          <w14:textFill>
            <w14:solidFill>
              <w14:schemeClr w14:val="tx1"/>
            </w14:solidFill>
          </w14:textFill>
        </w:rPr>
      </w:pPr>
    </w:p>
    <w:p w14:paraId="25031F0E">
      <w:pPr>
        <w:pStyle w:val="21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03CB12CA">
      <w:pPr>
        <w:pStyle w:val="21"/>
        <w:jc w:val="left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21577E2B">
      <w:pPr>
        <w:widowControl/>
        <w:spacing w:line="240" w:lineRule="auto"/>
        <w:ind w:firstLine="0" w:firstLineChars="0"/>
        <w:rPr>
          <w:b/>
          <w:bCs/>
          <w:color w:val="000000" w:themeColor="text1"/>
          <w:kern w:val="44"/>
          <w:sz w:val="32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br w:type="page"/>
      </w:r>
    </w:p>
    <w:p w14:paraId="209C736D"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0" w:name="_Toc16777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用能权交易</w:t>
      </w:r>
      <w:bookmarkEnd w:id="0"/>
    </w:p>
    <w:p w14:paraId="533F3228">
      <w:pPr>
        <w:pStyle w:val="3"/>
      </w:pPr>
      <w:bookmarkStart w:id="1" w:name="_Toc17775"/>
      <w:r>
        <w:rPr>
          <w:rFonts w:hint="eastAsia"/>
        </w:rPr>
        <w:t>平台入口</w:t>
      </w:r>
      <w:bookmarkEnd w:id="1"/>
    </w:p>
    <w:p w14:paraId="47C35DFA">
      <w:pPr>
        <w:ind w:firstLine="420"/>
        <w:rPr>
          <w:rFonts w:ascii="Times New Roman" w:hAnsi="Times New Roman" w:cs="Times New Roman"/>
        </w:rPr>
      </w:pPr>
      <w:bookmarkStart w:id="2" w:name="_Hlk90132698"/>
      <w:r>
        <w:rPr>
          <w:rFonts w:hint="eastAsia" w:ascii="Times New Roman" w:hAnsi="Times New Roman" w:cs="Times New Roman"/>
          <w:lang w:eastAsia="zh-CN"/>
        </w:rPr>
        <w:t>陕西省用能权交易平台</w:t>
      </w:r>
      <w:r>
        <w:rPr>
          <w:rFonts w:hint="eastAsia" w:ascii="Times New Roman" w:hAnsi="Times New Roman" w:cs="Times New Roman"/>
        </w:rPr>
        <w:t>网址：</w:t>
      </w:r>
      <w:r>
        <w:rPr>
          <w:rFonts w:ascii="Times New Roman" w:hAnsi="Times New Roman" w:cs="Times New Roman"/>
        </w:rPr>
        <w:fldChar w:fldCharType="begin"/>
      </w:r>
      <w:r>
        <w:rPr>
          <w:rFonts w:ascii="Times New Roman" w:hAnsi="Times New Roman" w:cs="Times New Roman"/>
        </w:rPr>
        <w:instrText xml:space="preserve"> HYPERLINK "http://111.20.184.126:8085/" </w:instrText>
      </w:r>
      <w:r>
        <w:rPr>
          <w:rFonts w:ascii="Times New Roman" w:hAnsi="Times New Roman" w:cs="Times New Roman"/>
        </w:rPr>
        <w:fldChar w:fldCharType="separate"/>
      </w:r>
      <w:r>
        <w:rPr>
          <w:rStyle w:val="16"/>
          <w:rFonts w:ascii="Times New Roman" w:hAnsi="Times New Roman" w:cs="Times New Roman"/>
        </w:rPr>
        <w:t>http://111.20.184.126:8085/</w:t>
      </w:r>
      <w:r>
        <w:rPr>
          <w:rStyle w:val="16"/>
          <w:rFonts w:ascii="Times New Roman" w:hAnsi="Times New Roman" w:cs="Times New Roman"/>
        </w:rPr>
        <w:fldChar w:fldCharType="end"/>
      </w:r>
    </w:p>
    <w:p w14:paraId="2981518C">
      <w:pPr>
        <w:ind w:firstLine="420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或者打开全国公共资源交易平台（陕西）网站首页（网址：https://www.sxggzyjy.cn/），在首页右侧点击用能权交易平台进入</w:t>
      </w:r>
      <w:r>
        <w:rPr>
          <w:rFonts w:hint="eastAsia" w:ascii="Times New Roman" w:hAnsi="Times New Roman" w:cs="Times New Roman"/>
          <w:lang w:eastAsia="zh-CN"/>
        </w:rPr>
        <w:t>陕西省用能权交易平台</w:t>
      </w:r>
      <w:r>
        <w:rPr>
          <w:rFonts w:hint="eastAsia" w:ascii="Times New Roman" w:hAnsi="Times New Roman" w:cs="Times New Roman"/>
        </w:rPr>
        <w:t>，如下图：</w:t>
      </w:r>
    </w:p>
    <w:p w14:paraId="511ED3F5">
      <w:pPr>
        <w:ind w:firstLine="0"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390515" cy="2593975"/>
            <wp:effectExtent l="0" t="0" r="635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259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628607">
      <w:pPr>
        <w:ind w:firstLine="0" w:firstLineChars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drawing>
          <wp:inline distT="0" distB="0" distL="114300" distR="114300">
            <wp:extent cx="5318760" cy="2573655"/>
            <wp:effectExtent l="0" t="0" r="15240" b="1714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1876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2"/>
    <w:p w14:paraId="39AE7E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ascii="Times New Roman" w:hAnsi="Times New Roman" w:cs="Times New Roman"/>
        </w:rPr>
      </w:pPr>
      <w:r>
        <w:rPr>
          <w:rFonts w:hint="eastAsia" w:ascii="Times New Roman" w:hAnsi="Times New Roman" w:cs="Times New Roman"/>
        </w:rPr>
        <w:t>1、</w:t>
      </w:r>
      <w:bookmarkStart w:id="3" w:name="_Hlk90132761"/>
      <w:r>
        <w:rPr>
          <w:rFonts w:hint="eastAsia" w:ascii="Times New Roman" w:hAnsi="Times New Roman" w:cs="Times New Roman"/>
        </w:rPr>
        <w:t>用能权交易平台首页点击“</w:t>
      </w:r>
      <w:r>
        <w:rPr>
          <w:rFonts w:hint="eastAsia" w:ascii="Times New Roman" w:hAnsi="Times New Roman" w:cs="Times New Roman"/>
          <w:lang w:val="en-US" w:eastAsia="zh-CN"/>
        </w:rPr>
        <w:t>交易系统登录入口</w:t>
      </w:r>
      <w:r>
        <w:rPr>
          <w:rFonts w:hint="eastAsia" w:ascii="Times New Roman" w:hAnsi="Times New Roman" w:cs="Times New Roman"/>
        </w:rPr>
        <w:t>”，进入企业登录注册页面，</w:t>
      </w:r>
      <w:bookmarkEnd w:id="3"/>
      <w:r>
        <w:rPr>
          <w:rFonts w:hint="eastAsia" w:ascii="Times New Roman" w:hAnsi="Times New Roman" w:cs="Times New Roman"/>
        </w:rPr>
        <w:t>如下图：</w:t>
      </w:r>
    </w:p>
    <w:p w14:paraId="7A51D69A">
      <w:pPr>
        <w:ind w:firstLine="0" w:firstLineChars="0"/>
        <w:rPr>
          <w:rFonts w:ascii="Times New Roman" w:hAnsi="Times New Roman" w:cs="Times New Roman"/>
        </w:rPr>
      </w:pPr>
      <w:r>
        <w:drawing>
          <wp:inline distT="0" distB="0" distL="114300" distR="114300">
            <wp:extent cx="5208905" cy="2520315"/>
            <wp:effectExtent l="0" t="0" r="10795" b="1333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12D5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420" w:firstLineChars="200"/>
        <w:textAlignment w:val="auto"/>
        <w:rPr>
          <w:rFonts w:hint="eastAsia" w:ascii="Times New Roman" w:hAnsi="Times New Roman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2、</w:t>
      </w:r>
      <w:r>
        <w:rPr>
          <w:rFonts w:hint="eastAsia" w:ascii="Times New Roman" w:hAnsi="Times New Roman" w:cs="Times New Roman"/>
          <w:lang w:val="en-US" w:eastAsia="zh-CN"/>
        </w:rPr>
        <w:t>点击“管理端”，跳转到发改监管人员登录入口，如下图：</w:t>
      </w:r>
    </w:p>
    <w:p w14:paraId="38267A86">
      <w:pPr>
        <w:numPr>
          <w:ilvl w:val="0"/>
          <w:numId w:val="0"/>
        </w:numPr>
        <w:rPr>
          <w:rFonts w:hint="default" w:ascii="Times New Roman" w:hAnsi="Times New Roman" w:cs="Times New Roman"/>
          <w:lang w:val="en-US" w:eastAsia="zh-CN"/>
        </w:rPr>
      </w:pPr>
      <w:r>
        <w:drawing>
          <wp:inline distT="0" distB="0" distL="114300" distR="114300">
            <wp:extent cx="5208905" cy="2520315"/>
            <wp:effectExtent l="0" t="0" r="10795" b="13335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554CA">
      <w:pPr>
        <w:pStyle w:val="3"/>
        <w:rPr>
          <w:rFonts w:hint="eastAsia"/>
        </w:rPr>
      </w:pPr>
      <w:bookmarkStart w:id="4" w:name="_Toc9871"/>
      <w:bookmarkStart w:id="5" w:name="_Toc261428517"/>
      <w:bookmarkStart w:id="6" w:name="_Toc225152731"/>
      <w:r>
        <w:rPr>
          <w:rFonts w:hint="eastAsia"/>
        </w:rPr>
        <w:t>用能权交易管理</w:t>
      </w:r>
      <w:bookmarkEnd w:id="4"/>
      <w:r>
        <w:rPr>
          <w:rFonts w:hint="eastAsia"/>
        </w:rPr>
        <w:t xml:space="preserve"> </w:t>
      </w:r>
    </w:p>
    <w:p w14:paraId="3D224EDF">
      <w:pPr>
        <w:pStyle w:val="4"/>
      </w:pPr>
      <w:bookmarkStart w:id="7" w:name="_Toc3881"/>
      <w:r>
        <w:rPr>
          <w:rFonts w:hint="eastAsia"/>
        </w:rPr>
        <w:t>下发交易指标</w:t>
      </w:r>
      <w:bookmarkEnd w:id="7"/>
    </w:p>
    <w:p w14:paraId="683883EC">
      <w:pPr>
        <w:rPr>
          <w:rFonts w:eastAsia="宋体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前提条件：</w:t>
      </w:r>
      <w:r>
        <w:rPr>
          <w:rFonts w:hint="eastAsia" w:ascii="宋体" w:hAnsi="宋体"/>
          <w:bCs/>
        </w:rPr>
        <w:t>政府出让的指标或年度</w:t>
      </w:r>
      <w:r>
        <w:rPr>
          <w:rFonts w:hint="eastAsia" w:ascii="宋体" w:hAnsi="宋体"/>
          <w:bCs/>
          <w:lang w:val="en-US" w:eastAsia="zh-CN"/>
        </w:rPr>
        <w:t>预算管理</w:t>
      </w:r>
      <w:r>
        <w:rPr>
          <w:rFonts w:hint="eastAsia" w:ascii="宋体" w:hAnsi="宋体"/>
          <w:bCs/>
        </w:rPr>
        <w:t>，由发改监管部门直接下发指标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。</w:t>
      </w:r>
    </w:p>
    <w:p w14:paraId="5B29D671">
      <w:pPr>
        <w:pStyle w:val="22"/>
        <w:ind w:left="420" w:leftChars="200" w:firstLine="0" w:firstLineChars="0"/>
        <w:rPr>
          <w:rFonts w:ascii="宋体" w:hAnsi="宋体" w:eastAsia="宋体"/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基本功能：</w:t>
      </w:r>
      <w:r>
        <w:rPr>
          <w:rFonts w:hint="eastAsia"/>
          <w:bCs/>
          <w:color w:val="000000" w:themeColor="text1"/>
          <w14:textFill>
            <w14:solidFill>
              <w14:schemeClr w14:val="tx1"/>
            </w14:solidFill>
          </w14:textFill>
        </w:rPr>
        <w:t>下发交易指标</w:t>
      </w:r>
      <w:r>
        <w:rPr>
          <w:rFonts w:hint="eastAsia" w:ascii="宋体" w:hAnsi="宋体"/>
        </w:rPr>
        <w:t>。</w:t>
      </w:r>
    </w:p>
    <w:p w14:paraId="6F14817E">
      <w:pPr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/>
          <w:color w:val="000000" w:themeColor="text1"/>
          <w14:textFill>
            <w14:solidFill>
              <w14:schemeClr w14:val="tx1"/>
            </w14:solidFill>
          </w14:textFill>
        </w:rPr>
        <w:t>操作步骤：</w:t>
      </w:r>
    </w:p>
    <w:p w14:paraId="00B8B3D1">
      <w:pPr>
        <w:pStyle w:val="22"/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bCs/>
          <w:color w:val="000000" w:themeColor="text1"/>
          <w14:textFill>
            <w14:solidFill>
              <w14:schemeClr w14:val="tx1"/>
            </w14:solidFill>
          </w14:textFill>
        </w:rPr>
        <w:t>1、监管人员登录后</w:t>
      </w:r>
      <w:r>
        <w:rPr>
          <w:rFonts w:hint="eastAsia"/>
        </w:rPr>
        <w:t>，点击上方“用能权交易</w:t>
      </w:r>
      <w:r>
        <w:rPr>
          <w:rFonts w:hint="eastAsia"/>
        </w:rPr>
        <w:t>-下发交易指标”菜单，</w:t>
      </w:r>
      <w:r>
        <w:rPr>
          <w:rFonts w:hint="eastAsia"/>
          <w:bCs/>
          <w:color w:val="000000" w:themeColor="text1"/>
          <w14:textFill>
            <w14:solidFill>
              <w14:schemeClr w14:val="tx1"/>
            </w14:solidFill>
          </w14:textFill>
        </w:rPr>
        <w:t>进入指标管理页面页面，如下图：</w:t>
      </w:r>
    </w:p>
    <w:p w14:paraId="659F678F">
      <w:pPr>
        <w:pStyle w:val="22"/>
        <w:rPr>
          <w:rFonts w:hint="eastAsia"/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8120" cy="3032125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3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D701E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2、点击新增交易指标，进入交易指标编写页面，如下图：</w:t>
      </w:r>
    </w:p>
    <w:p w14:paraId="63981AD1">
      <w:pPr>
        <w:pStyle w:val="22"/>
        <w:ind w:left="420" w:firstLine="0" w:firstLineChars="0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8120" cy="3022600"/>
            <wp:effectExtent l="0" t="0" r="0" b="635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02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12F31">
      <w:pPr>
        <w:pStyle w:val="22"/>
        <w:ind w:left="420" w:hanging="420" w:hangingChars="200"/>
      </w:pPr>
      <w:r>
        <w:rPr>
          <w:rFonts w:hint="eastAsia"/>
        </w:rPr>
        <w:t>注：</w:t>
      </w:r>
    </w:p>
    <w:p w14:paraId="402C7784">
      <w:pPr>
        <w:tabs>
          <w:tab w:val="left" w:pos="1108"/>
        </w:tabs>
      </w:pPr>
      <w:r>
        <w:rPr>
          <w:rFonts w:hint="eastAsia"/>
        </w:rPr>
        <w:t>①项目编号无需填写，待交易中心确认交易指标后系统自动生成。</w:t>
      </w:r>
    </w:p>
    <w:p w14:paraId="04F1E197">
      <w:r>
        <w:rPr>
          <w:rFonts w:hint="eastAsia"/>
        </w:rPr>
        <w:t>②指标类型分为年度</w:t>
      </w:r>
      <w:r>
        <w:rPr>
          <w:rFonts w:hint="eastAsia"/>
          <w:lang w:val="en-US" w:eastAsia="zh-CN"/>
        </w:rPr>
        <w:t>预算管理</w:t>
      </w:r>
      <w:r>
        <w:rPr>
          <w:rFonts w:hint="eastAsia"/>
        </w:rPr>
        <w:t>和用能权。</w:t>
      </w:r>
    </w:p>
    <w:p w14:paraId="66B003AA">
      <w:r>
        <w:rPr>
          <w:rFonts w:hint="eastAsia"/>
        </w:rPr>
        <w:t>③交易方式选则定价时，只需要填写交易数量、交易价格（按照每吨标准煤计价）和保证金金额，登记本信息；选择“竞价”时，则需要设置竞价规则（如上图红框所示）。</w:t>
      </w:r>
    </w:p>
    <w:p w14:paraId="399B63AE">
      <w:r>
        <w:rPr>
          <w:rFonts w:hint="eastAsia"/>
        </w:rPr>
        <w:t>④保证金金额按照“交易数量*每吨标准煤单价”来计算，申购企业需足额缴纳。</w:t>
      </w:r>
    </w:p>
    <w:p w14:paraId="0F5619F3">
      <w:pPr>
        <w:rPr>
          <w:rFonts w:hint="eastAsia"/>
        </w:rPr>
      </w:pPr>
      <w:r>
        <w:rPr>
          <w:rFonts w:hint="eastAsia"/>
        </w:rPr>
        <w:t>⑤附件中需上传交易指标批复文件，交易中心收到指标后，按照批复文件内容发布交易公告。</w:t>
      </w:r>
    </w:p>
    <w:p w14:paraId="077988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3、指标提交后，推送到交易中心接收指标，发布交易公告。</w:t>
      </w:r>
    </w:p>
    <w:p w14:paraId="1CCA19E3">
      <w:pPr>
        <w:tabs>
          <w:tab w:val="left" w:pos="1108"/>
        </w:tabs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08905" cy="2520315"/>
            <wp:effectExtent l="0" t="0" r="10795" b="1333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DFE8DD">
      <w:pPr>
        <w:tabs>
          <w:tab w:val="left" w:pos="1108"/>
        </w:tabs>
        <w:ind w:left="0" w:leftChars="0"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 w14:paraId="68A04A93">
      <w:pPr>
        <w:pStyle w:val="4"/>
      </w:pPr>
      <w:bookmarkStart w:id="8" w:name="_Toc31259"/>
      <w:r>
        <w:rPr>
          <w:rFonts w:hint="eastAsia"/>
          <w:lang w:val="en-US" w:eastAsia="zh-CN"/>
        </w:rPr>
        <w:t>查看</w:t>
      </w:r>
      <w:r>
        <w:rPr>
          <w:rFonts w:hint="eastAsia"/>
        </w:rPr>
        <w:t>交易公告</w:t>
      </w:r>
      <w:bookmarkEnd w:id="8"/>
    </w:p>
    <w:p w14:paraId="5AE8420D">
      <w:pPr>
        <w:rPr>
          <w:rFonts w:ascii="宋体" w:hAnsi="宋体"/>
        </w:rPr>
      </w:pPr>
      <w:r>
        <w:rPr>
          <w:rFonts w:ascii="宋体" w:hAnsi="宋体"/>
          <w:b/>
        </w:rPr>
        <w:t>前提条件</w:t>
      </w:r>
      <w:r>
        <w:rPr>
          <w:rFonts w:hint="eastAsia" w:ascii="宋体" w:hAnsi="宋体"/>
          <w:b/>
        </w:rPr>
        <w:t>：</w:t>
      </w:r>
      <w:r>
        <w:rPr>
          <w:rFonts w:hint="eastAsia" w:ascii="宋体" w:hAnsi="宋体"/>
          <w:bCs/>
        </w:rPr>
        <w:t>交易中心按照发改委下发的交易指标，编辑公告后提交。</w:t>
      </w:r>
    </w:p>
    <w:p w14:paraId="1B3ACD02">
      <w:pPr>
        <w:rPr>
          <w:rFonts w:ascii="宋体" w:hAnsi="宋体" w:eastAsia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  <w:bCs/>
          <w:lang w:val="en-US" w:eastAsia="zh-CN"/>
        </w:rPr>
        <w:t>查看</w:t>
      </w:r>
      <w:r>
        <w:rPr>
          <w:rFonts w:hint="eastAsia" w:ascii="宋体" w:hAnsi="宋体"/>
          <w:bCs/>
        </w:rPr>
        <w:t>交易中心</w:t>
      </w:r>
      <w:r>
        <w:rPr>
          <w:rFonts w:hint="eastAsia" w:ascii="宋体" w:hAnsi="宋体"/>
          <w:bCs/>
          <w:lang w:val="en-US" w:eastAsia="zh-CN"/>
        </w:rPr>
        <w:t>发布</w:t>
      </w:r>
      <w:r>
        <w:rPr>
          <w:rFonts w:hint="eastAsia" w:ascii="宋体" w:hAnsi="宋体"/>
          <w:bCs/>
        </w:rPr>
        <w:t>的交易公告</w:t>
      </w:r>
      <w:r>
        <w:rPr>
          <w:rFonts w:hint="eastAsia" w:ascii="宋体" w:hAnsi="宋体"/>
        </w:rPr>
        <w:t>。</w:t>
      </w:r>
    </w:p>
    <w:p w14:paraId="39D788DD">
      <w:pPr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 w14:paraId="1CAA5689">
      <w:pPr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1、工作台页面，点击</w:t>
      </w:r>
      <w:r>
        <w:rPr>
          <w:rFonts w:hint="eastAsia" w:ascii="宋体" w:hAnsi="宋体"/>
          <w:bCs/>
        </w:rPr>
        <w:t>“交易管理—交易公告管理”菜单，</w:t>
      </w:r>
      <w:r>
        <w:rPr>
          <w:rFonts w:hint="eastAsia"/>
          <w:bCs/>
          <w:color w:val="000000" w:themeColor="text1"/>
          <w14:textFill>
            <w14:solidFill>
              <w14:schemeClr w14:val="tx1"/>
            </w14:solidFill>
          </w14:textFill>
        </w:rPr>
        <w:t>进入交易公告管理页面，如下图：</w:t>
      </w:r>
    </w:p>
    <w:p w14:paraId="3C43F625">
      <w:pPr>
        <w:ind w:firstLine="0" w:firstLineChars="0"/>
        <w:rPr>
          <w:rFonts w:hint="eastAsia"/>
        </w:rPr>
      </w:pPr>
      <w:r>
        <w:drawing>
          <wp:inline distT="0" distB="0" distL="0" distR="0">
            <wp:extent cx="5278120" cy="1458595"/>
            <wp:effectExtent l="0" t="0" r="0" b="825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58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C68DDA">
      <w:r>
        <w:rPr>
          <w:rFonts w:hint="eastAsia"/>
        </w:rPr>
        <w:t>2、点击操作进入公告</w:t>
      </w:r>
      <w:r>
        <w:rPr>
          <w:rFonts w:hint="eastAsia"/>
          <w:lang w:val="en-US" w:eastAsia="zh-CN"/>
        </w:rPr>
        <w:t>查看</w:t>
      </w:r>
      <w:r>
        <w:rPr>
          <w:rFonts w:hint="eastAsia"/>
        </w:rPr>
        <w:t>页面，如下图：</w:t>
      </w:r>
    </w:p>
    <w:p w14:paraId="3119770C">
      <w:pPr>
        <w:ind w:left="0" w:leftChars="0" w:firstLine="0" w:firstLineChars="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208905" cy="2520315"/>
            <wp:effectExtent l="0" t="0" r="10795" b="1333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0371A">
      <w:pPr>
        <w:pStyle w:val="4"/>
      </w:pPr>
      <w:bookmarkStart w:id="9" w:name="_Toc12532"/>
      <w:r>
        <w:rPr>
          <w:rFonts w:hint="eastAsia"/>
        </w:rPr>
        <w:t>申购申请</w:t>
      </w:r>
      <w:r>
        <w:rPr>
          <w:rFonts w:hint="eastAsia"/>
          <w:lang w:val="en-US" w:eastAsia="zh-CN"/>
        </w:rPr>
        <w:t>查看</w:t>
      </w:r>
      <w:bookmarkEnd w:id="9"/>
    </w:p>
    <w:p w14:paraId="3304F5D3">
      <w:pPr>
        <w:rPr>
          <w:rFonts w:ascii="宋体" w:hAnsi="宋体"/>
        </w:rPr>
      </w:pPr>
      <w:r>
        <w:rPr>
          <w:rFonts w:ascii="宋体" w:hAnsi="宋体"/>
          <w:b/>
        </w:rPr>
        <w:t>前提条件</w:t>
      </w:r>
      <w:r>
        <w:rPr>
          <w:rFonts w:hint="eastAsia" w:ascii="宋体" w:hAnsi="宋体"/>
          <w:b/>
        </w:rPr>
        <w:t>：</w:t>
      </w:r>
      <w:r>
        <w:rPr>
          <w:rFonts w:hint="eastAsia" w:ascii="宋体" w:hAnsi="宋体"/>
          <w:bCs/>
        </w:rPr>
        <w:t>申购企业提交了申购申请。</w:t>
      </w:r>
    </w:p>
    <w:p w14:paraId="605776F1">
      <w:pPr>
        <w:rPr>
          <w:rFonts w:ascii="宋体" w:hAnsi="宋体" w:eastAsia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  <w:bCs/>
          <w:lang w:val="en-US" w:eastAsia="zh-CN"/>
        </w:rPr>
        <w:t>查看</w:t>
      </w:r>
      <w:r>
        <w:rPr>
          <w:rFonts w:hint="eastAsia" w:ascii="宋体" w:hAnsi="宋体"/>
          <w:bCs/>
        </w:rPr>
        <w:t>申购申请</w:t>
      </w:r>
      <w:r>
        <w:rPr>
          <w:rFonts w:hint="eastAsia" w:ascii="宋体" w:hAnsi="宋体"/>
        </w:rPr>
        <w:t>。</w:t>
      </w:r>
    </w:p>
    <w:p w14:paraId="167AECD8">
      <w:pPr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 w14:paraId="04DCE686">
      <w:pPr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1、工作台页面，点击“计划管理-申购计划”菜单，</w:t>
      </w:r>
      <w:r>
        <w:rPr>
          <w:rFonts w:hint="eastAsia"/>
          <w:bCs/>
          <w:color w:val="000000" w:themeColor="text1"/>
          <w14:textFill>
            <w14:solidFill>
              <w14:schemeClr w14:val="tx1"/>
            </w14:solidFill>
          </w14:textFill>
        </w:rPr>
        <w:t>进入申购申请审核页面，如下图：</w:t>
      </w:r>
    </w:p>
    <w:p w14:paraId="2984642B">
      <w:pPr>
        <w:ind w:firstLine="0" w:firstLineChars="0"/>
        <w:rPr>
          <w:rFonts w:hint="eastAsia"/>
        </w:rPr>
      </w:pPr>
      <w:r>
        <w:drawing>
          <wp:inline distT="0" distB="0" distL="0" distR="0">
            <wp:extent cx="5278120" cy="1558925"/>
            <wp:effectExtent l="0" t="0" r="0" b="31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5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39605">
      <w:pPr>
        <w:rPr>
          <w:rFonts w:hint="eastAsia"/>
        </w:rPr>
      </w:pPr>
      <w:r>
        <w:rPr>
          <w:rFonts w:hint="eastAsia"/>
        </w:rPr>
        <w:t>2、点击操作进入申购申请详情页面</w:t>
      </w:r>
      <w:r>
        <w:rPr>
          <w:rFonts w:hint="eastAsia"/>
          <w:lang w:eastAsia="zh-CN"/>
        </w:rPr>
        <w:t>，</w:t>
      </w:r>
      <w:r>
        <w:rPr>
          <w:rFonts w:hint="eastAsia"/>
        </w:rPr>
        <w:t>如下图：</w:t>
      </w:r>
    </w:p>
    <w:p w14:paraId="10AE005C">
      <w:pPr>
        <w:bidi w:val="0"/>
        <w:ind w:left="0" w:leftChars="0" w:firstLine="0" w:firstLineChars="0"/>
        <w:outlineLvl w:val="9"/>
        <w:rPr>
          <w:rFonts w:hint="eastAsia"/>
        </w:rPr>
      </w:pPr>
      <w:bookmarkStart w:id="10" w:name="_Toc13199"/>
      <w:r>
        <w:drawing>
          <wp:inline distT="0" distB="0" distL="114300" distR="114300">
            <wp:extent cx="5208905" cy="2520315"/>
            <wp:effectExtent l="0" t="0" r="1270" b="3810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10"/>
    </w:p>
    <w:p w14:paraId="5AF9993E">
      <w:pPr>
        <w:pStyle w:val="4"/>
      </w:pPr>
      <w:bookmarkStart w:id="11" w:name="_Toc19385"/>
      <w:r>
        <w:rPr>
          <w:rFonts w:hint="eastAsia"/>
        </w:rPr>
        <w:t>成交公示</w:t>
      </w:r>
      <w:r>
        <w:rPr>
          <w:rFonts w:hint="eastAsia"/>
          <w:lang w:val="en-US" w:eastAsia="zh-CN"/>
        </w:rPr>
        <w:t>查看</w:t>
      </w:r>
      <w:bookmarkEnd w:id="11"/>
    </w:p>
    <w:p w14:paraId="3478BF95">
      <w:pPr>
        <w:rPr>
          <w:rFonts w:ascii="宋体" w:hAnsi="宋体"/>
        </w:rPr>
      </w:pPr>
      <w:r>
        <w:rPr>
          <w:rFonts w:ascii="宋体" w:hAnsi="宋体"/>
          <w:b/>
        </w:rPr>
        <w:t>前提条件</w:t>
      </w:r>
      <w:r>
        <w:rPr>
          <w:rFonts w:hint="eastAsia" w:ascii="宋体" w:hAnsi="宋体"/>
          <w:b/>
        </w:rPr>
        <w:t>：</w:t>
      </w:r>
      <w:r>
        <w:rPr>
          <w:rFonts w:hint="eastAsia" w:ascii="宋体" w:hAnsi="宋体"/>
          <w:bCs/>
        </w:rPr>
        <w:t>交易中心提交了成交结果公示。</w:t>
      </w:r>
    </w:p>
    <w:p w14:paraId="175A8BBA">
      <w:pPr>
        <w:rPr>
          <w:rFonts w:ascii="宋体" w:hAnsi="宋体" w:eastAsia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  <w:bCs/>
          <w:lang w:val="en-US" w:eastAsia="zh-CN"/>
        </w:rPr>
        <w:t>查看</w:t>
      </w:r>
      <w:r>
        <w:rPr>
          <w:rFonts w:hint="eastAsia" w:ascii="宋体" w:hAnsi="宋体"/>
          <w:bCs/>
        </w:rPr>
        <w:t>成交结果公示</w:t>
      </w:r>
      <w:r>
        <w:rPr>
          <w:rFonts w:hint="eastAsia" w:ascii="宋体" w:hAnsi="宋体"/>
        </w:rPr>
        <w:t>。</w:t>
      </w:r>
    </w:p>
    <w:p w14:paraId="07AF14D2">
      <w:pPr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 w14:paraId="62BE833F">
      <w:pPr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1、工作台页面，点击“交易管理-成交公示管理”菜单</w:t>
      </w:r>
      <w:r>
        <w:t>，</w:t>
      </w:r>
      <w:r>
        <w:rPr>
          <w:rFonts w:hint="eastAsia"/>
          <w:bCs/>
          <w:color w:val="000000" w:themeColor="text1"/>
          <w14:textFill>
            <w14:solidFill>
              <w14:schemeClr w14:val="tx1"/>
            </w14:solidFill>
          </w14:textFill>
        </w:rPr>
        <w:t>进入成交结果公示</w:t>
      </w:r>
      <w:r>
        <w:rPr>
          <w:rFonts w:hint="eastAsia"/>
          <w:bCs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查看</w:t>
      </w:r>
      <w:r>
        <w:rPr>
          <w:rFonts w:hint="eastAsia"/>
          <w:bCs/>
          <w:color w:val="000000" w:themeColor="text1"/>
          <w14:textFill>
            <w14:solidFill>
              <w14:schemeClr w14:val="tx1"/>
            </w14:solidFill>
          </w14:textFill>
        </w:rPr>
        <w:t>页面，如下图：</w:t>
      </w:r>
    </w:p>
    <w:p w14:paraId="63918579">
      <w:pPr>
        <w:ind w:firstLine="0" w:firstLineChars="0"/>
      </w:pPr>
    </w:p>
    <w:p w14:paraId="33D314F7">
      <w:pPr>
        <w:ind w:firstLine="0" w:firstLineChars="0"/>
      </w:pPr>
      <w:r>
        <w:drawing>
          <wp:inline distT="0" distB="0" distL="0" distR="0">
            <wp:extent cx="5278120" cy="153225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32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78A6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2、点击操作进入公告查看页面，如下图：</w:t>
      </w:r>
    </w:p>
    <w:p w14:paraId="1A50DAD2">
      <w:pPr>
        <w:ind w:firstLine="0" w:firstLineChars="0"/>
      </w:pPr>
      <w:r>
        <w:drawing>
          <wp:inline distT="0" distB="0" distL="114300" distR="114300">
            <wp:extent cx="5208905" cy="2520315"/>
            <wp:effectExtent l="0" t="0" r="10795" b="1333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08905" cy="252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0AF4AC">
      <w:pPr>
        <w:pStyle w:val="4"/>
      </w:pPr>
      <w:bookmarkStart w:id="12" w:name="_Toc8952"/>
      <w:r>
        <w:rPr>
          <w:rFonts w:hint="eastAsia"/>
        </w:rPr>
        <w:t>合同审核</w:t>
      </w:r>
      <w:bookmarkEnd w:id="12"/>
    </w:p>
    <w:p w14:paraId="2C594D9E">
      <w:pPr>
        <w:rPr>
          <w:rFonts w:ascii="宋体" w:hAnsi="宋体"/>
        </w:rPr>
      </w:pPr>
      <w:r>
        <w:rPr>
          <w:rFonts w:ascii="宋体" w:hAnsi="宋体"/>
          <w:b/>
        </w:rPr>
        <w:t>前提条件</w:t>
      </w:r>
      <w:r>
        <w:rPr>
          <w:rFonts w:hint="eastAsia" w:ascii="宋体" w:hAnsi="宋体"/>
          <w:b/>
        </w:rPr>
        <w:t>：</w:t>
      </w:r>
      <w:r>
        <w:rPr>
          <w:rFonts w:hint="eastAsia" w:ascii="宋体" w:hAnsi="宋体" w:cs="Times New Roman"/>
          <w:bCs/>
          <w:lang w:val="en-US" w:eastAsia="zh-CN"/>
        </w:rPr>
        <w:t>交易凭证完成备案</w:t>
      </w:r>
      <w:r>
        <w:rPr>
          <w:rFonts w:hint="eastAsia" w:ascii="宋体" w:hAnsi="宋体" w:cs="Times New Roman"/>
          <w:bCs/>
        </w:rPr>
        <w:t>。</w:t>
      </w:r>
    </w:p>
    <w:p w14:paraId="790365C9">
      <w:pPr>
        <w:rPr>
          <w:rFonts w:ascii="宋体" w:hAnsi="宋体" w:eastAsia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  <w:bCs/>
          <w:lang w:val="en-US" w:eastAsia="zh-CN"/>
        </w:rPr>
        <w:t>提交</w:t>
      </w:r>
      <w:r>
        <w:rPr>
          <w:rFonts w:hint="eastAsia" w:ascii="宋体" w:hAnsi="宋体"/>
          <w:bCs/>
        </w:rPr>
        <w:t>合同</w:t>
      </w:r>
      <w:r>
        <w:rPr>
          <w:rFonts w:hint="eastAsia" w:ascii="宋体" w:hAnsi="宋体"/>
          <w:bCs/>
          <w:lang w:val="en-US" w:eastAsia="zh-CN"/>
        </w:rPr>
        <w:t>审核</w:t>
      </w:r>
      <w:r>
        <w:rPr>
          <w:rFonts w:hint="eastAsia" w:ascii="宋体" w:hAnsi="宋体"/>
        </w:rPr>
        <w:t>。</w:t>
      </w:r>
    </w:p>
    <w:p w14:paraId="1264C37D">
      <w:pPr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 w14:paraId="0C5AB378">
      <w:r>
        <w:rPr>
          <w:rFonts w:hint="eastAsia"/>
        </w:rPr>
        <w:t>1、工作台页面，点击“合同管理-合同审核”菜单，</w:t>
      </w:r>
      <w:r>
        <w:rPr>
          <w:rFonts w:hint="eastAsia"/>
          <w:lang w:val="en-US" w:eastAsia="zh-CN"/>
        </w:rPr>
        <w:t>点击“新增合同备案”，发起合同备案流程</w:t>
      </w:r>
      <w:r>
        <w:rPr>
          <w:rFonts w:hint="eastAsia"/>
        </w:rPr>
        <w:t>。</w:t>
      </w:r>
      <w:r>
        <w:rPr>
          <w:rFonts w:hint="eastAsia"/>
          <w:bCs/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 w14:paraId="3A083CA7">
      <w:pPr>
        <w:ind w:firstLine="0" w:firstLineChars="0"/>
      </w:pPr>
      <w:r>
        <w:drawing>
          <wp:inline distT="0" distB="0" distL="0" distR="0">
            <wp:extent cx="5278120" cy="1402715"/>
            <wp:effectExtent l="0" t="0" r="0" b="698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CFB0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 w:cs="Times New Roman"/>
          <w:lang w:val="en-US" w:eastAsia="zh-CN"/>
        </w:rPr>
      </w:pPr>
      <w:r>
        <w:rPr>
          <w:rFonts w:hint="eastAsia" w:cs="Times New Roman"/>
          <w:lang w:val="en-US" w:eastAsia="zh-CN"/>
        </w:rPr>
        <w:t>点击“操作”进入合同审核页面，也可以下载合同附件进一步审核。</w:t>
      </w:r>
    </w:p>
    <w:p w14:paraId="7C4552AB">
      <w:pPr>
        <w:ind w:firstLine="0" w:firstLineChars="0"/>
      </w:pPr>
      <w:r>
        <w:drawing>
          <wp:inline distT="0" distB="0" distL="0" distR="0">
            <wp:extent cx="5278120" cy="2973070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826E5">
      <w:pPr>
        <w:pStyle w:val="4"/>
      </w:pPr>
      <w:bookmarkStart w:id="13" w:name="_Toc32504"/>
      <w:r>
        <w:rPr>
          <w:rFonts w:hint="eastAsia"/>
        </w:rPr>
        <w:t>资金划转情况确认</w:t>
      </w:r>
      <w:bookmarkEnd w:id="13"/>
    </w:p>
    <w:p w14:paraId="573906AB">
      <w:pPr>
        <w:rPr>
          <w:rFonts w:ascii="宋体" w:hAnsi="宋体"/>
        </w:rPr>
      </w:pPr>
      <w:r>
        <w:rPr>
          <w:rFonts w:ascii="宋体" w:hAnsi="宋体"/>
          <w:b/>
        </w:rPr>
        <w:t>前提条件</w:t>
      </w:r>
      <w:r>
        <w:rPr>
          <w:rFonts w:hint="eastAsia" w:ascii="宋体" w:hAnsi="宋体"/>
          <w:b/>
        </w:rPr>
        <w:t>：</w:t>
      </w:r>
      <w:r>
        <w:rPr>
          <w:rFonts w:hint="eastAsia" w:ascii="宋体" w:hAnsi="宋体"/>
          <w:bCs/>
        </w:rPr>
        <w:t>成功交易的申购企业提交资金划转申请，并且经过交易中心确认。</w:t>
      </w:r>
    </w:p>
    <w:p w14:paraId="41C1A21E">
      <w:pPr>
        <w:rPr>
          <w:rFonts w:ascii="宋体" w:hAnsi="宋体" w:eastAsia="宋体"/>
        </w:rPr>
      </w:pPr>
      <w:r>
        <w:rPr>
          <w:b/>
        </w:rPr>
        <w:t>基本功能</w:t>
      </w:r>
      <w:r>
        <w:rPr>
          <w:rFonts w:ascii="宋体" w:hAnsi="宋体"/>
          <w:b/>
        </w:rPr>
        <w:t>：</w:t>
      </w:r>
      <w:r>
        <w:rPr>
          <w:rFonts w:hint="eastAsia" w:ascii="宋体" w:hAnsi="宋体"/>
          <w:bCs/>
        </w:rPr>
        <w:t>审核资金划转申请</w:t>
      </w:r>
      <w:r>
        <w:rPr>
          <w:rFonts w:hint="eastAsia" w:ascii="宋体" w:hAnsi="宋体"/>
        </w:rPr>
        <w:t>。</w:t>
      </w:r>
    </w:p>
    <w:p w14:paraId="3C752421">
      <w:pPr>
        <w:rPr>
          <w:rFonts w:ascii="宋体" w:hAnsi="宋体"/>
          <w:b/>
        </w:rPr>
      </w:pPr>
      <w:r>
        <w:rPr>
          <w:rFonts w:ascii="宋体" w:hAnsi="宋体"/>
          <w:b/>
        </w:rPr>
        <w:t>操作步骤：</w:t>
      </w:r>
    </w:p>
    <w:p w14:paraId="74F7C78C">
      <w:pPr>
        <w:rPr>
          <w:bCs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</w:rPr>
        <w:t>1、工作台页面，点击“资金管理-资金划转情况确认”菜单，打开右侧资金划转申请列表，默认展示待审核状态的资金划转申请。</w:t>
      </w:r>
      <w:r>
        <w:rPr>
          <w:rFonts w:hint="eastAsia"/>
          <w:bCs/>
          <w:color w:val="000000" w:themeColor="text1"/>
          <w14:textFill>
            <w14:solidFill>
              <w14:schemeClr w14:val="tx1"/>
            </w14:solidFill>
          </w14:textFill>
        </w:rPr>
        <w:t>如下图：</w:t>
      </w:r>
    </w:p>
    <w:p w14:paraId="31F0B40D">
      <w:pPr>
        <w:ind w:firstLine="0" w:firstLineChars="0"/>
        <w:rPr>
          <w:rFonts w:hint="eastAsia"/>
        </w:rPr>
      </w:pPr>
    </w:p>
    <w:p w14:paraId="0EC47037">
      <w:pPr>
        <w:ind w:firstLine="0" w:firstLineChars="0"/>
      </w:pPr>
      <w:r>
        <w:drawing>
          <wp:inline distT="0" distB="0" distL="0" distR="0">
            <wp:extent cx="5278120" cy="127762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277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77AF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textAlignment w:val="auto"/>
        <w:rPr>
          <w:rFonts w:hint="eastAsia"/>
        </w:rPr>
      </w:pPr>
      <w:bookmarkStart w:id="14" w:name="_GoBack"/>
      <w:bookmarkEnd w:id="14"/>
      <w:r>
        <w:rPr>
          <w:rFonts w:hint="eastAsia"/>
        </w:rPr>
        <w:t>2、在资金划转审核页面，点击“同意”或者“不同意”进行审核即可。</w:t>
      </w:r>
    </w:p>
    <w:p w14:paraId="047125A8">
      <w:pPr>
        <w:ind w:firstLine="0" w:firstLineChars="0"/>
      </w:pPr>
      <w:r>
        <w:drawing>
          <wp:inline distT="0" distB="0" distL="0" distR="0">
            <wp:extent cx="5278120" cy="2908300"/>
            <wp:effectExtent l="0" t="0" r="0" b="635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90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CAB0DB">
      <w:pPr>
        <w:ind w:firstLine="0" w:firstLineChars="0"/>
      </w:pPr>
    </w:p>
    <w:bookmarkEnd w:id="5"/>
    <w:bookmarkEnd w:id="6"/>
    <w:p w14:paraId="20382467">
      <w:pPr>
        <w:ind w:firstLine="0" w:firstLineChars="0"/>
        <w:rPr>
          <w:rFonts w:hint="eastAsia"/>
        </w:rPr>
      </w:pP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797" w:bottom="1440" w:left="1797" w:header="454" w:footer="680" w:gutter="0"/>
      <w:pgNumType w:start="1"/>
      <w:cols w:space="720" w:num="1"/>
      <w:titlePg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思源宋体 CN ExtraLight">
    <w:altName w:val="微软雅黑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思源宋体 CN">
    <w:altName w:val="微软雅黑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70BE8E">
    <w:pPr>
      <w:pStyle w:val="9"/>
      <w:pBdr>
        <w:top w:val="single" w:color="A5A5A5" w:themeColor="accent3" w:sz="24" w:space="5"/>
      </w:pBdr>
      <w:wordWrap w:val="0"/>
      <w:spacing w:line="240" w:lineRule="auto"/>
      <w:ind w:firstLine="360"/>
      <w:jc w:val="right"/>
      <w:rPr>
        <w:rFonts w:hint="eastAsia" w:ascii="思源宋体 CN ExtraLight" w:hAnsi="思源宋体 CN ExtraLight" w:eastAsia="思源宋体 CN ExtraLight" w:cs="思源宋体 CN ExtraLight"/>
        <w:lang w:eastAsia="zh-CN"/>
      </w:rPr>
    </w:pPr>
    <w:sdt>
      <w:sdtPr>
        <w:rPr>
          <w:lang w:val="zh-CN"/>
        </w:rPr>
        <w:alias w:val="公司"/>
        <w:id w:val="270665196"/>
        <w:showingPlcHdr/>
        <w:dataBinding w:prefixMappings="xmlns:ns0='http://schemas.openxmlformats.org/officeDocument/2006/extended-properties'" w:xpath="/ns0:Properties[1]/ns0:Company[1]" w:storeItemID="{6668398D-A668-4E3E-A5EB-62B293D839F1}"/>
        <w:text/>
      </w:sdtPr>
      <w:sdtEndPr>
        <w:rPr>
          <w:rFonts w:hint="eastAsia" w:ascii="思源宋体 CN ExtraLight" w:hAnsi="思源宋体 CN ExtraLight" w:cs="思源宋体 CN ExtraLight"/>
          <w:lang w:val="zh-CN"/>
        </w:rPr>
      </w:sdtEndPr>
      <w:sdtContent>
        <w:r>
          <w:rPr>
            <w:lang w:val="zh-CN"/>
          </w:rPr>
          <w:t xml:space="preserve">     </w:t>
        </w:r>
      </w:sdtContent>
    </w:sdt>
    <w:r>
      <w:rPr>
        <w:rFonts w:hint="eastAsia" w:ascii="思源宋体 CN ExtraLight" w:hAnsi="思源宋体 CN ExtraLight" w:cs="思源宋体 CN ExtraLight"/>
      </w:rPr>
      <w:fldChar w:fldCharType="begin"/>
    </w:r>
    <w:r>
      <w:rPr>
        <w:rFonts w:hint="eastAsia" w:ascii="思源宋体 CN ExtraLight" w:hAnsi="思源宋体 CN ExtraLight" w:cs="思源宋体 CN ExtraLight"/>
      </w:rPr>
      <w:instrText xml:space="preserve"> PAGE </w:instrText>
    </w:r>
    <w:r>
      <w:rPr>
        <w:rFonts w:hint="eastAsia" w:ascii="思源宋体 CN ExtraLight" w:hAnsi="思源宋体 CN ExtraLight" w:cs="思源宋体 CN ExtraLight"/>
      </w:rPr>
      <w:fldChar w:fldCharType="separate"/>
    </w:r>
    <w:r>
      <w:rPr>
        <w:rFonts w:hint="eastAsia" w:ascii="思源宋体 CN ExtraLight" w:hAnsi="思源宋体 CN ExtraLight" w:cs="思源宋体 CN ExtraLight"/>
      </w:rPr>
      <w:t>1</w:t>
    </w:r>
    <w:r>
      <w:rPr>
        <w:rFonts w:hint="eastAsia" w:ascii="思源宋体 CN ExtraLight" w:hAnsi="思源宋体 CN ExtraLight" w:cs="思源宋体 CN ExtraLight"/>
      </w:rPr>
      <w:fldChar w:fldCharType="end"/>
    </w:r>
    <w:r>
      <w:rPr>
        <w:rFonts w:hint="eastAsia" w:ascii="思源宋体 CN ExtraLight" w:hAnsi="思源宋体 CN ExtraLight" w:cs="思源宋体 CN ExtraLight"/>
        <w:lang w:val="zh-CN"/>
      </w:rPr>
      <w:t>/</w:t>
    </w:r>
    <w:r>
      <w:rPr>
        <w:rFonts w:ascii="思源宋体 CN ExtraLight" w:hAnsi="思源宋体 CN ExtraLight" w:cs="思源宋体 CN ExtraLight"/>
      </w:rPr>
      <w:t>1</w:t>
    </w:r>
    <w:r>
      <w:rPr>
        <w:rFonts w:hint="eastAsia" w:ascii="思源宋体 CN ExtraLight" w:hAnsi="思源宋体 CN ExtraLight" w:cs="思源宋体 CN ExtraLight"/>
        <w:lang w:val="en-US" w:eastAsia="zh-CN"/>
      </w:rPr>
      <w:t>2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BB1345B"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94ED10E">
    <w:pPr>
      <w:pStyle w:val="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C98E24">
    <w:pPr>
      <w:pStyle w:val="10"/>
      <w:pBdr>
        <w:bottom w:val="thickThinSmallGap" w:color="622423" w:sz="24" w:space="1"/>
      </w:pBdr>
      <w:spacing w:line="240" w:lineRule="auto"/>
      <w:ind w:firstLine="0" w:firstLineChars="0"/>
      <w:jc w:val="left"/>
      <w:rPr>
        <w:rFonts w:hint="eastAsia" w:ascii="宋体" w:hAnsi="宋体" w:cs="思源宋体 CN ExtraLight"/>
      </w:rPr>
    </w:pPr>
    <w:r>
      <w:rPr>
        <w:rFonts w:hint="eastAsia" w:ascii="宋体" w:hAnsi="宋体"/>
      </w:rPr>
      <w:drawing>
        <wp:anchor distT="0" distB="0" distL="0" distR="0" simplePos="0" relativeHeight="251660288" behindDoc="0" locked="0" layoutInCell="1" allowOverlap="1">
          <wp:simplePos x="0" y="0"/>
          <wp:positionH relativeFrom="column">
            <wp:posOffset>11430</wp:posOffset>
          </wp:positionH>
          <wp:positionV relativeFrom="paragraph">
            <wp:posOffset>39370</wp:posOffset>
          </wp:positionV>
          <wp:extent cx="617855" cy="135890"/>
          <wp:effectExtent l="0" t="0" r="1270" b="6985"/>
          <wp:wrapSquare wrapText="bothSides"/>
          <wp:docPr id="120" name="图片 46" descr="E:\操作手册\产权图片\图片2.png图片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" name="图片 46" descr="E:\操作手册\产权图片\图片2.png图片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17855" cy="135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 w:ascii="宋体" w:hAnsi="宋体"/>
      </w:rPr>
      <w:t xml:space="preserve">产权交易交 </w:t>
    </w:r>
    <w:r>
      <w:rPr>
        <w:rFonts w:hint="eastAsia" w:ascii="宋体" w:hAnsi="宋体"/>
        <w:lang w:val="en-US" w:eastAsia="zh-CN"/>
      </w:rPr>
      <w:t xml:space="preserve"> </w:t>
    </w:r>
    <w:r>
      <w:rPr>
        <w:rFonts w:hint="eastAsia" w:ascii="宋体" w:hAnsi="宋体"/>
      </w:rPr>
      <w:t>陕西省用能权交易平台-管理端操作手册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0EEF352"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CE3302">
    <w:pPr>
      <w:pStyle w:val="10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3D69C1"/>
    <w:multiLevelType w:val="multilevel"/>
    <w:tmpl w:val="3E3D69C1"/>
    <w:lvl w:ilvl="0" w:tentative="0">
      <w:start w:val="1"/>
      <w:numFmt w:val="chineseCountingThousand"/>
      <w:pStyle w:val="2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decimal"/>
      <w:pStyle w:val="3"/>
      <w:isLgl/>
      <w:suff w:val="nothing"/>
      <w:lvlText w:val="%1.%2、"/>
      <w:lvlJc w:val="left"/>
      <w:pPr>
        <w:ind w:left="0" w:firstLine="0"/>
      </w:pPr>
      <w:rPr>
        <w:rFonts w:hint="default" w:ascii="Times New Roman" w:hAnsi="Times New Roman" w:cs="Times New Roman"/>
      </w:rPr>
    </w:lvl>
    <w:lvl w:ilvl="2" w:tentative="0">
      <w:start w:val="1"/>
      <w:numFmt w:val="decimal"/>
      <w:pStyle w:val="4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3" w:tentative="0">
      <w:start w:val="1"/>
      <w:numFmt w:val="decimal"/>
      <w:pStyle w:val="5"/>
      <w:isLgl/>
      <w:suff w:val="nothing"/>
      <w:lvlText w:val="%1.%2.%3.%4、"/>
      <w:lvlJc w:val="left"/>
      <w:pPr>
        <w:ind w:left="0" w:firstLine="0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kyZmNhZmMwYTRkMzdjNDc0ZDBiODA4ZTNmNjg2YzYifQ=="/>
  </w:docVars>
  <w:rsids>
    <w:rsidRoot w:val="446F3336"/>
    <w:rsid w:val="00034D2D"/>
    <w:rsid w:val="00066D97"/>
    <w:rsid w:val="000F33F4"/>
    <w:rsid w:val="001214D9"/>
    <w:rsid w:val="00144BE4"/>
    <w:rsid w:val="001B5C8B"/>
    <w:rsid w:val="001E5EDD"/>
    <w:rsid w:val="00233EE3"/>
    <w:rsid w:val="00310B09"/>
    <w:rsid w:val="003614B0"/>
    <w:rsid w:val="00391BE4"/>
    <w:rsid w:val="003C18C1"/>
    <w:rsid w:val="0053419E"/>
    <w:rsid w:val="00561FB8"/>
    <w:rsid w:val="005D361D"/>
    <w:rsid w:val="0065258F"/>
    <w:rsid w:val="00654D9E"/>
    <w:rsid w:val="00660E51"/>
    <w:rsid w:val="00663054"/>
    <w:rsid w:val="00671BBF"/>
    <w:rsid w:val="0074180C"/>
    <w:rsid w:val="00771E09"/>
    <w:rsid w:val="00791B8A"/>
    <w:rsid w:val="0084335D"/>
    <w:rsid w:val="00847D9D"/>
    <w:rsid w:val="008972D8"/>
    <w:rsid w:val="008C5019"/>
    <w:rsid w:val="008D7482"/>
    <w:rsid w:val="00970CC0"/>
    <w:rsid w:val="00971FA0"/>
    <w:rsid w:val="009742B4"/>
    <w:rsid w:val="009A63F0"/>
    <w:rsid w:val="009E2BF2"/>
    <w:rsid w:val="00A34648"/>
    <w:rsid w:val="00A87A0E"/>
    <w:rsid w:val="00AC025F"/>
    <w:rsid w:val="00AD1ABD"/>
    <w:rsid w:val="00B17238"/>
    <w:rsid w:val="00B27C49"/>
    <w:rsid w:val="00B46783"/>
    <w:rsid w:val="00B83392"/>
    <w:rsid w:val="00BE5018"/>
    <w:rsid w:val="00C57ACF"/>
    <w:rsid w:val="00E36F68"/>
    <w:rsid w:val="00E42A54"/>
    <w:rsid w:val="00EA325D"/>
    <w:rsid w:val="00EB35DF"/>
    <w:rsid w:val="00F176AB"/>
    <w:rsid w:val="00F87BA8"/>
    <w:rsid w:val="018B76A4"/>
    <w:rsid w:val="03830FF7"/>
    <w:rsid w:val="03A26B6F"/>
    <w:rsid w:val="068F1C07"/>
    <w:rsid w:val="0D9755F8"/>
    <w:rsid w:val="0F2E3618"/>
    <w:rsid w:val="0F853D58"/>
    <w:rsid w:val="12BC2D82"/>
    <w:rsid w:val="161A7F3E"/>
    <w:rsid w:val="193E507D"/>
    <w:rsid w:val="1BC75DA8"/>
    <w:rsid w:val="206B65B5"/>
    <w:rsid w:val="210426B1"/>
    <w:rsid w:val="28936B4B"/>
    <w:rsid w:val="2BF9337E"/>
    <w:rsid w:val="2F6A4C1F"/>
    <w:rsid w:val="2FEC0E66"/>
    <w:rsid w:val="312D3FBF"/>
    <w:rsid w:val="331829AE"/>
    <w:rsid w:val="33500E65"/>
    <w:rsid w:val="357235E3"/>
    <w:rsid w:val="36E055A8"/>
    <w:rsid w:val="3B9B7DAC"/>
    <w:rsid w:val="3C1674F1"/>
    <w:rsid w:val="4147282A"/>
    <w:rsid w:val="42AE40B8"/>
    <w:rsid w:val="44204967"/>
    <w:rsid w:val="446F3336"/>
    <w:rsid w:val="44DD6779"/>
    <w:rsid w:val="49797288"/>
    <w:rsid w:val="499B6FB8"/>
    <w:rsid w:val="4B86222C"/>
    <w:rsid w:val="4BAA5719"/>
    <w:rsid w:val="4DDA7DE6"/>
    <w:rsid w:val="579F7685"/>
    <w:rsid w:val="58B9227B"/>
    <w:rsid w:val="5BE10680"/>
    <w:rsid w:val="623B179E"/>
    <w:rsid w:val="65853492"/>
    <w:rsid w:val="659C2B61"/>
    <w:rsid w:val="68792B3F"/>
    <w:rsid w:val="719B7924"/>
    <w:rsid w:val="742B500C"/>
    <w:rsid w:val="77250F31"/>
    <w:rsid w:val="7AFF5CA9"/>
    <w:rsid w:val="7B391571"/>
    <w:rsid w:val="7CFE6D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39" w:semiHidden="0" w:name="toc 4"/>
    <w:lsdException w:qFormat="1"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思源宋体 CN ExtraLight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0"/>
    <w:pPr>
      <w:keepNext/>
      <w:keepLines/>
      <w:numPr>
        <w:ilvl w:val="0"/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3">
    <w:name w:val="heading 2"/>
    <w:basedOn w:val="1"/>
    <w:next w:val="1"/>
    <w:link w:val="24"/>
    <w:qFormat/>
    <w:uiPriority w:val="0"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4">
    <w:name w:val="heading 3"/>
    <w:basedOn w:val="1"/>
    <w:next w:val="1"/>
    <w:link w:val="25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5">
    <w:name w:val="heading 4"/>
    <w:basedOn w:val="1"/>
    <w:next w:val="1"/>
    <w:qFormat/>
    <w:uiPriority w:val="0"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/>
      <w:outlineLvl w:val="3"/>
    </w:pPr>
    <w:rPr>
      <w:rFonts w:hAnsi="Arial"/>
      <w:b/>
      <w:bCs/>
      <w:sz w:val="24"/>
      <w:szCs w:val="28"/>
    </w:rPr>
  </w:style>
  <w:style w:type="paragraph" w:styleId="6">
    <w:name w:val="heading 5"/>
    <w:basedOn w:val="1"/>
    <w:next w:val="1"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4"/>
    </w:pPr>
    <w:rPr>
      <w:b/>
      <w:sz w:val="28"/>
    </w:rPr>
  </w:style>
  <w:style w:type="character" w:default="1" w:styleId="15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5"/>
    <w:basedOn w:val="1"/>
    <w:next w:val="1"/>
    <w:qFormat/>
    <w:uiPriority w:val="0"/>
    <w:pPr>
      <w:ind w:left="1680" w:leftChars="800"/>
    </w:pPr>
  </w:style>
  <w:style w:type="paragraph" w:styleId="8">
    <w:name w:val="toc 3"/>
    <w:basedOn w:val="1"/>
    <w:next w:val="1"/>
    <w:qFormat/>
    <w:uiPriority w:val="39"/>
    <w:pPr>
      <w:spacing w:line="240" w:lineRule="auto"/>
      <w:ind w:firstLine="400" w:firstLineChars="400"/>
    </w:pPr>
    <w:rPr>
      <w:rFonts w:cstheme="minorHAnsi"/>
      <w:iCs/>
      <w:szCs w:val="20"/>
    </w:rPr>
  </w:style>
  <w:style w:type="paragraph" w:styleId="9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header"/>
    <w:basedOn w:val="1"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qFormat/>
    <w:uiPriority w:val="39"/>
    <w:pPr>
      <w:spacing w:line="240" w:lineRule="auto"/>
      <w:ind w:firstLine="0" w:firstLineChars="0"/>
    </w:pPr>
    <w:rPr>
      <w:rFonts w:cstheme="minorHAnsi"/>
      <w:bCs/>
      <w:caps/>
      <w:szCs w:val="20"/>
    </w:rPr>
  </w:style>
  <w:style w:type="paragraph" w:styleId="12">
    <w:name w:val="toc 4"/>
    <w:basedOn w:val="1"/>
    <w:next w:val="1"/>
    <w:qFormat/>
    <w:uiPriority w:val="39"/>
    <w:pPr>
      <w:spacing w:line="240" w:lineRule="auto"/>
      <w:ind w:firstLine="600" w:firstLineChars="600"/>
    </w:pPr>
    <w:rPr>
      <w:rFonts w:cstheme="minorHAnsi"/>
      <w:szCs w:val="18"/>
    </w:rPr>
  </w:style>
  <w:style w:type="paragraph" w:styleId="13">
    <w:name w:val="toc 2"/>
    <w:basedOn w:val="1"/>
    <w:next w:val="1"/>
    <w:qFormat/>
    <w:uiPriority w:val="39"/>
    <w:pPr>
      <w:spacing w:line="240" w:lineRule="auto"/>
      <w:ind w:firstLine="200"/>
    </w:pPr>
    <w:rPr>
      <w:rFonts w:cstheme="minorHAnsi"/>
      <w:smallCaps/>
      <w:szCs w:val="20"/>
    </w:rPr>
  </w:style>
  <w:style w:type="character" w:styleId="16">
    <w:name w:val="Hyperlink"/>
    <w:basedOn w:val="15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customStyle="1" w:styleId="17">
    <w:name w:val="1"/>
    <w:basedOn w:val="1"/>
    <w:qFormat/>
    <w:uiPriority w:val="0"/>
    <w:pPr>
      <w:ind w:firstLine="0" w:firstLineChars="0"/>
    </w:pPr>
  </w:style>
  <w:style w:type="paragraph" w:customStyle="1" w:styleId="18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19">
    <w:name w:val="样式1"/>
    <w:basedOn w:val="1"/>
    <w:qFormat/>
    <w:uiPriority w:val="0"/>
    <w:pPr>
      <w:spacing w:line="300" w:lineRule="auto"/>
      <w:ind w:firstLine="480"/>
    </w:pPr>
    <w:rPr>
      <w:sz w:val="24"/>
    </w:rPr>
  </w:style>
  <w:style w:type="paragraph" w:styleId="20">
    <w:name w:val="No Spacing"/>
    <w:qFormat/>
    <w:uiPriority w:val="1"/>
    <w:pPr>
      <w:widowControl w:val="0"/>
      <w:spacing w:line="360" w:lineRule="auto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1">
    <w:name w:val="2"/>
    <w:basedOn w:val="1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paragraph" w:styleId="22">
    <w:name w:val="List Paragraph"/>
    <w:basedOn w:val="1"/>
    <w:qFormat/>
    <w:uiPriority w:val="34"/>
  </w:style>
  <w:style w:type="character" w:customStyle="1" w:styleId="23">
    <w:name w:val="标题 1 字符"/>
    <w:link w:val="2"/>
    <w:qFormat/>
    <w:uiPriority w:val="0"/>
    <w:rPr>
      <w:rFonts w:eastAsia="思源宋体 CN ExtraLight"/>
      <w:b/>
      <w:bCs/>
      <w:kern w:val="44"/>
      <w:sz w:val="32"/>
      <w:szCs w:val="28"/>
    </w:rPr>
  </w:style>
  <w:style w:type="character" w:customStyle="1" w:styleId="24">
    <w:name w:val="标题 2 字符"/>
    <w:basedOn w:val="15"/>
    <w:link w:val="3"/>
    <w:qFormat/>
    <w:uiPriority w:val="0"/>
    <w:rPr>
      <w:rFonts w:eastAsia="思源宋体 CN ExtraLight"/>
      <w:b/>
      <w:bCs/>
      <w:kern w:val="2"/>
      <w:sz w:val="30"/>
      <w:szCs w:val="32"/>
    </w:rPr>
  </w:style>
  <w:style w:type="character" w:customStyle="1" w:styleId="25">
    <w:name w:val="标题 3 字符"/>
    <w:basedOn w:val="15"/>
    <w:link w:val="4"/>
    <w:qFormat/>
    <w:uiPriority w:val="0"/>
    <w:rPr>
      <w:rFonts w:eastAsia="思源宋体 CN ExtraLight"/>
      <w:b/>
      <w:bCs/>
      <w:kern w:val="2"/>
      <w:sz w:val="2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2" Type="http://schemas.openxmlformats.org/officeDocument/2006/relationships/fontTable" Target="fontTable.xml"/><Relationship Id="rId31" Type="http://schemas.openxmlformats.org/officeDocument/2006/relationships/numbering" Target="numbering.xml"/><Relationship Id="rId30" Type="http://schemas.openxmlformats.org/officeDocument/2006/relationships/customXml" Target="../customXml/item1.xml"/><Relationship Id="rId3" Type="http://schemas.openxmlformats.org/officeDocument/2006/relationships/footnotes" Target="footnotes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1264</Words>
  <Characters>1376</Characters>
  <Lines>18</Lines>
  <Paragraphs>5</Paragraphs>
  <TotalTime>4</TotalTime>
  <ScaleCrop>false</ScaleCrop>
  <LinksUpToDate>false</LinksUpToDate>
  <CharactersWithSpaces>1407</CharactersWithSpaces>
  <Application>WPS Office_12.1.0.18276_F1E327BC-269C-435d-A152-05C5408002CA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2019-03-20T07:18:00Z</dcterms:created>
  <dc:creator>GKB2900</dc:creator>
  <cp:lastModifiedBy>张丽娜</cp:lastModifiedBy>
  <dcterms:modified xsi:type="dcterms:W3CDTF">2024-11-20T11:42:47Z</dcterms:modified>
  <cp:revision>40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2052-12.1.0.18276</vt:lpwstr>
  </property>
  <property fmtid="{D5CDD505-2E9C-101B-9397-08002B2CF9AE}" pid="3" name="ICV">
    <vt:lpwstr>5B130D2FD880428C8D7137A611F0C93F_12</vt:lpwstr>
  </property>
</Properties>
</file>